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813" w:rsidRPr="003B6E66" w:rsidRDefault="00CE4813" w:rsidP="00CE4813">
      <w:pPr>
        <w:pStyle w:val="3"/>
        <w:spacing w:line="240" w:lineRule="auto"/>
        <w:rPr>
          <w:rFonts w:ascii="Tahoma" w:hAnsi="Tahoma"/>
        </w:rPr>
      </w:pPr>
      <w:r w:rsidRPr="00F43E8F">
        <w:rPr>
          <w:rFonts w:ascii="Tahoma" w:hAnsi="Tahoma"/>
        </w:rPr>
        <w:t>Επεξεργασία υγρών αποβλήτων &amp; επαναχρησιμοποίηση</w:t>
      </w:r>
      <w:r>
        <w:rPr>
          <w:rFonts w:ascii="Tahoma" w:hAnsi="Tahoma"/>
        </w:rPr>
        <w:t xml:space="preserve"> – Εργαστήριο </w:t>
      </w:r>
      <w:r w:rsidR="003B6E66" w:rsidRPr="003B6E66">
        <w:rPr>
          <w:rFonts w:ascii="Tahoma" w:hAnsi="Tahoma"/>
        </w:rPr>
        <w:t>3</w:t>
      </w:r>
    </w:p>
    <w:p w:rsidR="00CE4813" w:rsidRPr="00CE4813" w:rsidRDefault="00CE4813" w:rsidP="00CE4813">
      <w:pPr>
        <w:rPr>
          <w:lang w:eastAsia="el-GR"/>
        </w:rPr>
      </w:pPr>
    </w:p>
    <w:p w:rsidR="00CE4813" w:rsidRPr="00427D3A" w:rsidRDefault="00CE4813" w:rsidP="00CE4813">
      <w:pPr>
        <w:rPr>
          <w:lang w:eastAsia="el-GR"/>
        </w:rPr>
      </w:pPr>
    </w:p>
    <w:p w:rsidR="00CE4813" w:rsidRDefault="003B6E66" w:rsidP="00CE4813">
      <w:pPr>
        <w:pStyle w:val="a3"/>
        <w:numPr>
          <w:ilvl w:val="0"/>
          <w:numId w:val="1"/>
        </w:numPr>
        <w:tabs>
          <w:tab w:val="left" w:pos="2610"/>
        </w:tabs>
        <w:rPr>
          <w:rFonts w:ascii="Calibri" w:hAnsi="Calibri"/>
          <w:b/>
          <w:color w:val="2F5496" w:themeColor="accent5" w:themeShade="BF"/>
          <w:sz w:val="28"/>
          <w:szCs w:val="28"/>
        </w:rPr>
      </w:pPr>
      <w:r>
        <w:rPr>
          <w:rFonts w:ascii="Calibri" w:hAnsi="Calibri"/>
          <w:b/>
          <w:color w:val="2F5496" w:themeColor="accent5" w:themeShade="BF"/>
          <w:sz w:val="28"/>
          <w:szCs w:val="28"/>
          <w:lang w:val="en-US"/>
        </w:rPr>
        <w:t>TP</w:t>
      </w:r>
    </w:p>
    <w:p w:rsidR="00CE4813" w:rsidRDefault="00CE4813" w:rsidP="00CE4813">
      <w:pPr>
        <w:pStyle w:val="a3"/>
        <w:ind w:left="360"/>
        <w:jc w:val="both"/>
        <w:rPr>
          <w:rFonts w:ascii="Calibri" w:hAnsi="Calibri"/>
        </w:rPr>
      </w:pPr>
    </w:p>
    <w:p w:rsidR="003B6E66" w:rsidRPr="00E861E4" w:rsidRDefault="003B6E66" w:rsidP="003B6E66">
      <w:pPr>
        <w:ind w:left="426"/>
        <w:jc w:val="both"/>
        <w:rPr>
          <w:rFonts w:ascii="Calibri" w:hAnsi="Calibri"/>
        </w:rPr>
      </w:pPr>
      <w:r w:rsidRPr="00E861E4">
        <w:rPr>
          <w:rFonts w:ascii="Calibri" w:hAnsi="Calibri"/>
        </w:rPr>
        <w:t xml:space="preserve">Ο </w:t>
      </w:r>
      <w:r w:rsidRPr="00E861E4">
        <w:rPr>
          <w:rFonts w:ascii="Calibri" w:hAnsi="Calibri"/>
          <w:b/>
        </w:rPr>
        <w:t>φώσφορος</w:t>
      </w:r>
      <w:r w:rsidRPr="00E861E4">
        <w:rPr>
          <w:rFonts w:ascii="Calibri" w:hAnsi="Calibri"/>
        </w:rPr>
        <w:t xml:space="preserve">: εξίσου απαραίτητος για την ανάπτυξη μικροοργανισμών.  Συνήθως τα αστικά λύματα περιέχουν 4-15 </w:t>
      </w:r>
      <w:r w:rsidRPr="00E861E4">
        <w:rPr>
          <w:rFonts w:ascii="Calibri" w:hAnsi="Calibri"/>
          <w:lang w:val="en-GB"/>
        </w:rPr>
        <w:t>mg</w:t>
      </w:r>
      <w:r w:rsidRPr="00E861E4">
        <w:rPr>
          <w:rFonts w:ascii="Calibri" w:hAnsi="Calibri"/>
        </w:rPr>
        <w:t>/</w:t>
      </w:r>
      <w:r w:rsidRPr="00E861E4">
        <w:rPr>
          <w:rFonts w:ascii="Calibri" w:hAnsi="Calibri"/>
          <w:lang w:val="en-GB"/>
        </w:rPr>
        <w:t>l</w:t>
      </w:r>
      <w:r w:rsidRPr="00E861E4">
        <w:rPr>
          <w:rFonts w:ascii="Calibri" w:hAnsi="Calibri"/>
        </w:rPr>
        <w:t xml:space="preserve">.  Η συνηθέστερες μορφές του φωσφόρου στα απόβλητα είναι τα </w:t>
      </w:r>
      <w:proofErr w:type="spellStart"/>
      <w:r w:rsidRPr="00E861E4">
        <w:rPr>
          <w:rFonts w:ascii="Calibri" w:hAnsi="Calibri"/>
        </w:rPr>
        <w:t>ορθοφωσφορικά</w:t>
      </w:r>
      <w:proofErr w:type="spellEnd"/>
      <w:r w:rsidRPr="00E861E4">
        <w:rPr>
          <w:rFonts w:ascii="Calibri" w:hAnsi="Calibri"/>
        </w:rPr>
        <w:t xml:space="preserve"> (ΡΟ</w:t>
      </w:r>
      <w:r w:rsidRPr="00E861E4">
        <w:rPr>
          <w:rFonts w:ascii="Calibri" w:hAnsi="Calibri"/>
          <w:vertAlign w:val="subscript"/>
        </w:rPr>
        <w:t>4</w:t>
      </w:r>
      <w:r w:rsidRPr="00E861E4">
        <w:rPr>
          <w:rFonts w:ascii="Calibri" w:hAnsi="Calibri"/>
          <w:vertAlign w:val="superscript"/>
        </w:rPr>
        <w:t>3-</w:t>
      </w:r>
      <w:r w:rsidRPr="00E861E4">
        <w:rPr>
          <w:rFonts w:ascii="Calibri" w:hAnsi="Calibri"/>
        </w:rPr>
        <w:t xml:space="preserve">), τα </w:t>
      </w:r>
      <w:proofErr w:type="spellStart"/>
      <w:r w:rsidRPr="00E861E4">
        <w:rPr>
          <w:rFonts w:ascii="Calibri" w:hAnsi="Calibri"/>
        </w:rPr>
        <w:t>πολυφωσφορικά</w:t>
      </w:r>
      <w:proofErr w:type="spellEnd"/>
      <w:r w:rsidRPr="00E861E4">
        <w:rPr>
          <w:rFonts w:ascii="Calibri" w:hAnsi="Calibri"/>
        </w:rPr>
        <w:t xml:space="preserve"> και οι </w:t>
      </w:r>
      <w:proofErr w:type="spellStart"/>
      <w:r w:rsidRPr="00E861E4">
        <w:rPr>
          <w:rFonts w:ascii="Calibri" w:hAnsi="Calibri"/>
        </w:rPr>
        <w:t>οργανοφωσφορικές</w:t>
      </w:r>
      <w:proofErr w:type="spellEnd"/>
      <w:r w:rsidRPr="00E861E4">
        <w:rPr>
          <w:rFonts w:ascii="Calibri" w:hAnsi="Calibri"/>
        </w:rPr>
        <w:t xml:space="preserve"> ενώσεις. Με την επίδραση των βακτηρίων οι μεν οργανικές ενώσεις του φωσφόρου αποσυντίθενται σε </w:t>
      </w:r>
      <w:proofErr w:type="spellStart"/>
      <w:r w:rsidRPr="00E861E4">
        <w:rPr>
          <w:rFonts w:ascii="Calibri" w:hAnsi="Calibri"/>
        </w:rPr>
        <w:t>ορθοφωσφορικές</w:t>
      </w:r>
      <w:proofErr w:type="spellEnd"/>
      <w:r w:rsidRPr="00E861E4">
        <w:rPr>
          <w:rFonts w:ascii="Calibri" w:hAnsi="Calibri"/>
        </w:rPr>
        <w:t xml:space="preserve">, τα δε </w:t>
      </w:r>
      <w:proofErr w:type="spellStart"/>
      <w:r w:rsidRPr="00E861E4">
        <w:rPr>
          <w:rFonts w:ascii="Calibri" w:hAnsi="Calibri"/>
        </w:rPr>
        <w:t>πολυφωσφορικά</w:t>
      </w:r>
      <w:proofErr w:type="spellEnd"/>
      <w:r w:rsidRPr="00E861E4">
        <w:rPr>
          <w:rFonts w:ascii="Calibri" w:hAnsi="Calibri"/>
        </w:rPr>
        <w:t xml:space="preserve"> </w:t>
      </w:r>
      <w:proofErr w:type="spellStart"/>
      <w:r w:rsidRPr="00E861E4">
        <w:rPr>
          <w:rFonts w:ascii="Calibri" w:hAnsi="Calibri"/>
        </w:rPr>
        <w:t>υδρολύονται</w:t>
      </w:r>
      <w:proofErr w:type="spellEnd"/>
      <w:r w:rsidRPr="00E861E4">
        <w:rPr>
          <w:rFonts w:ascii="Calibri" w:hAnsi="Calibri"/>
        </w:rPr>
        <w:t xml:space="preserve"> επίσης σε </w:t>
      </w:r>
      <w:proofErr w:type="spellStart"/>
      <w:r w:rsidRPr="00E861E4">
        <w:rPr>
          <w:rFonts w:ascii="Calibri" w:hAnsi="Calibri"/>
        </w:rPr>
        <w:t>ορθοφωσφορικά</w:t>
      </w:r>
      <w:proofErr w:type="spellEnd"/>
      <w:r w:rsidRPr="00E861E4">
        <w:rPr>
          <w:rFonts w:ascii="Calibri" w:hAnsi="Calibri"/>
        </w:rPr>
        <w:t xml:space="preserve">.  </w:t>
      </w:r>
    </w:p>
    <w:p w:rsidR="003B6E66" w:rsidRPr="00E861E4" w:rsidRDefault="003B6E66" w:rsidP="003B6E66">
      <w:pPr>
        <w:ind w:left="426"/>
        <w:jc w:val="both"/>
        <w:rPr>
          <w:rFonts w:ascii="Calibri" w:hAnsi="Calibri"/>
        </w:rPr>
      </w:pPr>
      <w:r w:rsidRPr="00E861E4">
        <w:rPr>
          <w:rFonts w:ascii="Calibri" w:hAnsi="Calibri"/>
        </w:rPr>
        <w:t xml:space="preserve">Κατά τη επεξεργασία των αποβλήτων, η καθίζηση ελάχιστα μειώνει τα ως επί το </w:t>
      </w:r>
      <w:proofErr w:type="spellStart"/>
      <w:r w:rsidRPr="00E861E4">
        <w:rPr>
          <w:rFonts w:ascii="Calibri" w:hAnsi="Calibri"/>
        </w:rPr>
        <w:t>πλείστον</w:t>
      </w:r>
      <w:proofErr w:type="spellEnd"/>
      <w:r w:rsidRPr="00E861E4">
        <w:rPr>
          <w:rFonts w:ascii="Calibri" w:hAnsi="Calibri"/>
        </w:rPr>
        <w:t xml:space="preserve"> διαλυτά </w:t>
      </w:r>
      <w:proofErr w:type="spellStart"/>
      <w:r w:rsidRPr="00E861E4">
        <w:rPr>
          <w:rFonts w:ascii="Calibri" w:hAnsi="Calibri"/>
        </w:rPr>
        <w:t>ορθοφωσφορικά</w:t>
      </w:r>
      <w:proofErr w:type="spellEnd"/>
      <w:r w:rsidRPr="00E861E4">
        <w:rPr>
          <w:rFonts w:ascii="Calibri" w:hAnsi="Calibri"/>
        </w:rPr>
        <w:t>.  Στην δευτεροβάθμια επεξεργασία έχουμε μείωση του φωσφόρου, ο οποίος χρησιμοποιείται για την ανάπτυξη των μικροοργανισμών, αλλά σε αντίθεση με το άζωτο και τον άνθρακα η ποσότητα του φωσφόρου είναι μεγαλύτερη από την απαιτούμενη για την βιολογική σύνθεση.  Έτσι μόνο ένα ποσοστό 20 – 30% του φωσφόρου απομακρύνεται κατά την πρωτοβάθμια και δευτεροβάθμια επεξεργασία.  Η μείωση του φωσφόρου μπορεί να αυξηθεί μέχρι και 60% κατά την τριτοβάθμια επεξεργασία με χημική καθίζηση.</w:t>
      </w:r>
    </w:p>
    <w:p w:rsidR="003B6E66" w:rsidRPr="00E861E4" w:rsidRDefault="003B6E66" w:rsidP="003B6E66">
      <w:pPr>
        <w:ind w:left="426"/>
        <w:jc w:val="both"/>
        <w:rPr>
          <w:rFonts w:ascii="Calibri" w:hAnsi="Calibri"/>
        </w:rPr>
      </w:pPr>
      <w:r w:rsidRPr="00E861E4">
        <w:rPr>
          <w:rFonts w:ascii="Calibri" w:hAnsi="Calibri"/>
          <w:lang w:val="en-US"/>
        </w:rPr>
        <w:t>H</w:t>
      </w:r>
      <w:r w:rsidRPr="00E861E4">
        <w:rPr>
          <w:rFonts w:ascii="Calibri" w:hAnsi="Calibri"/>
        </w:rPr>
        <w:t xml:space="preserve"> προέλευση του φωσφόρου στα αστικά λύματα είναι κατά 50-70% από τα οικιακά απορρυπαντικά και το υπόλοιπο 30-50% από λύματα υγειονομικής φύσης.  Γίνεται προσπάθεια μείωσης του φωσφόρου στα λύματα κυρίως με υποκατάσταση του φωσφόρου που περιέχεται στα απορρυπαντικά, αλλά πλήρης αντικατάσταση είναι αδύνατον να γίνει. Η συνολική συνεισφορά ανά κάτοικο είναι της τάξης των 1.6 </w:t>
      </w:r>
      <w:r w:rsidRPr="00E861E4">
        <w:rPr>
          <w:rFonts w:ascii="Calibri" w:hAnsi="Calibri"/>
          <w:lang w:val="en-US"/>
        </w:rPr>
        <w:t>kg</w:t>
      </w:r>
      <w:r w:rsidRPr="00E861E4">
        <w:rPr>
          <w:rFonts w:ascii="Calibri" w:hAnsi="Calibri"/>
        </w:rPr>
        <w:t>/</w:t>
      </w:r>
      <w:proofErr w:type="spellStart"/>
      <w:r w:rsidRPr="00E861E4">
        <w:rPr>
          <w:rFonts w:ascii="Calibri" w:hAnsi="Calibri"/>
        </w:rPr>
        <w:t>άτομο</w:t>
      </w:r>
      <w:r w:rsidRPr="00E861E4">
        <w:rPr>
          <w:rFonts w:ascii="Calibri" w:hAnsi="Calibri"/>
          <w:vertAlign w:val="superscript"/>
        </w:rPr>
        <w:t>.</w:t>
      </w:r>
      <w:r w:rsidRPr="00E861E4">
        <w:rPr>
          <w:rFonts w:ascii="Calibri" w:hAnsi="Calibri"/>
        </w:rPr>
        <w:t>έτος</w:t>
      </w:r>
      <w:proofErr w:type="spellEnd"/>
      <w:r w:rsidRPr="00E861E4">
        <w:rPr>
          <w:rFonts w:ascii="Calibri" w:hAnsi="Calibri"/>
        </w:rPr>
        <w:t xml:space="preserve"> και η μέση συγκέντρωση στα αστικά απόβλητα είναι 10 </w:t>
      </w:r>
      <w:r w:rsidRPr="00E861E4">
        <w:rPr>
          <w:rFonts w:ascii="Calibri" w:hAnsi="Calibri"/>
          <w:lang w:val="en-US"/>
        </w:rPr>
        <w:t>mg</w:t>
      </w:r>
      <w:r w:rsidRPr="00E861E4">
        <w:rPr>
          <w:rFonts w:ascii="Calibri" w:hAnsi="Calibri"/>
        </w:rPr>
        <w:t>/</w:t>
      </w:r>
      <w:r w:rsidRPr="00E861E4">
        <w:rPr>
          <w:rFonts w:ascii="Calibri" w:hAnsi="Calibri"/>
          <w:lang w:val="en-US"/>
        </w:rPr>
        <w:t>l</w:t>
      </w:r>
      <w:r w:rsidRPr="00E861E4">
        <w:rPr>
          <w:rFonts w:ascii="Calibri" w:hAnsi="Calibri"/>
        </w:rPr>
        <w:t xml:space="preserve">  </w:t>
      </w:r>
      <w:r w:rsidRPr="00E861E4">
        <w:rPr>
          <w:rFonts w:ascii="Calibri" w:hAnsi="Calibri"/>
          <w:lang w:val="en-US"/>
        </w:rPr>
        <w:t>P</w:t>
      </w:r>
      <w:r w:rsidRPr="00E861E4">
        <w:rPr>
          <w:rFonts w:ascii="Calibri" w:hAnsi="Calibri"/>
        </w:rPr>
        <w:t>.</w:t>
      </w:r>
    </w:p>
    <w:p w:rsidR="003B6E66" w:rsidRDefault="003B6E66" w:rsidP="003B6E66">
      <w:pPr>
        <w:ind w:left="426"/>
        <w:jc w:val="both"/>
        <w:rPr>
          <w:rFonts w:ascii="Calibri" w:hAnsi="Calibri"/>
        </w:rPr>
      </w:pPr>
      <w:r w:rsidRPr="00E861E4">
        <w:rPr>
          <w:rFonts w:ascii="Calibri" w:hAnsi="Calibri"/>
        </w:rPr>
        <w:t xml:space="preserve">Η κυριότερη οικολογική επιβάρυνση που προκαλεί ο φώσφορος στα επιφανειακά νερά είναι ο ευτροφισμός κυρίως ποταμών και λιμνών, όπου αποτελεί τον κύριο περιοριστικό παράγοντα.  Από πολλούς οργανισμούς έχουν υιοθετηθεί όρια </w:t>
      </w:r>
      <w:proofErr w:type="spellStart"/>
      <w:r w:rsidRPr="00E861E4">
        <w:rPr>
          <w:rFonts w:ascii="Calibri" w:hAnsi="Calibri"/>
        </w:rPr>
        <w:t>σύγκέντρωσης</w:t>
      </w:r>
      <w:proofErr w:type="spellEnd"/>
      <w:r w:rsidRPr="00E861E4">
        <w:rPr>
          <w:rFonts w:ascii="Calibri" w:hAnsi="Calibri"/>
        </w:rPr>
        <w:t xml:space="preserve"> για τον ολικό φώσφορο που κυμαίνονται από 0.1 έως 2.0 </w:t>
      </w:r>
      <w:r w:rsidRPr="00E861E4">
        <w:rPr>
          <w:rFonts w:ascii="Calibri" w:hAnsi="Calibri"/>
          <w:lang w:val="en-US"/>
        </w:rPr>
        <w:t>mg</w:t>
      </w:r>
      <w:r w:rsidRPr="00E861E4">
        <w:rPr>
          <w:rFonts w:ascii="Calibri" w:hAnsi="Calibri"/>
        </w:rPr>
        <w:t>/</w:t>
      </w:r>
      <w:r w:rsidRPr="00E861E4">
        <w:rPr>
          <w:rFonts w:ascii="Calibri" w:hAnsi="Calibri"/>
          <w:lang w:val="en-US"/>
        </w:rPr>
        <w:t>l</w:t>
      </w:r>
      <w:r w:rsidRPr="00E861E4">
        <w:rPr>
          <w:rFonts w:ascii="Calibri" w:hAnsi="Calibri"/>
        </w:rPr>
        <w:t>.</w:t>
      </w:r>
    </w:p>
    <w:p w:rsidR="00C0670B" w:rsidRDefault="00C0670B" w:rsidP="003B6E66">
      <w:pPr>
        <w:ind w:left="426"/>
        <w:jc w:val="both"/>
        <w:rPr>
          <w:rFonts w:ascii="Calibri" w:hAnsi="Calibri"/>
        </w:rPr>
      </w:pPr>
    </w:p>
    <w:p w:rsidR="00C0670B" w:rsidRPr="00C0670B" w:rsidRDefault="00C0670B" w:rsidP="00C0670B">
      <w:pPr>
        <w:rPr>
          <w:b/>
        </w:rPr>
      </w:pPr>
      <w:r>
        <w:rPr>
          <w:b/>
          <w:noProof/>
          <w:lang w:eastAsia="el-GR"/>
        </w:rPr>
        <mc:AlternateContent>
          <mc:Choice Requires="wps">
            <w:drawing>
              <wp:anchor distT="0" distB="0" distL="114300" distR="114300" simplePos="0" relativeHeight="251659264" behindDoc="0" locked="0" layoutInCell="1" allowOverlap="1">
                <wp:simplePos x="0" y="0"/>
                <wp:positionH relativeFrom="column">
                  <wp:posOffset>-252730</wp:posOffset>
                </wp:positionH>
                <wp:positionV relativeFrom="paragraph">
                  <wp:posOffset>50165</wp:posOffset>
                </wp:positionV>
                <wp:extent cx="143510" cy="95250"/>
                <wp:effectExtent l="13970" t="21590" r="13970" b="26035"/>
                <wp:wrapNone/>
                <wp:docPr id="2" name="Δεξί βέλος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95250"/>
                        </a:xfrm>
                        <a:prstGeom prst="rightArrow">
                          <a:avLst>
                            <a:gd name="adj1" fmla="val 50000"/>
                            <a:gd name="adj2" fmla="val 37667"/>
                          </a:avLst>
                        </a:prstGeom>
                        <a:solidFill>
                          <a:srgbClr val="4F81B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881A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Δεξί βέλος 2" o:spid="_x0000_s1026" type="#_x0000_t13" style="position:absolute;margin-left:-19.9pt;margin-top:3.95pt;width:11.3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" fillcolor="#4f81bd"/>
            </w:pict>
          </mc:Fallback>
        </mc:AlternateContent>
      </w:r>
      <w:r w:rsidRPr="00254A0E">
        <w:rPr>
          <w:b/>
        </w:rPr>
        <w:t>ΜΕΤΡΗ</w:t>
      </w:r>
      <w:r>
        <w:rPr>
          <w:b/>
        </w:rPr>
        <w:t xml:space="preserve">ΣΗ ΦΩΣΦΟΡΟΥ </w:t>
      </w:r>
    </w:p>
    <w:p w:rsidR="00C0670B" w:rsidRDefault="00C0670B" w:rsidP="00C0670B">
      <w:pPr>
        <w:spacing w:line="360" w:lineRule="auto"/>
        <w:rPr>
          <w:u w:val="single"/>
        </w:rPr>
      </w:pPr>
      <w:r w:rsidRPr="009F604B">
        <w:rPr>
          <w:u w:val="single"/>
        </w:rPr>
        <w:t xml:space="preserve">ΕΞΟΠΛΙΣΜΟΣ </w:t>
      </w:r>
    </w:p>
    <w:p w:rsidR="00C0670B" w:rsidRDefault="00C0670B" w:rsidP="00955E96">
      <w:pPr>
        <w:pStyle w:val="a3"/>
        <w:numPr>
          <w:ilvl w:val="0"/>
          <w:numId w:val="7"/>
        </w:numPr>
        <w:spacing w:line="360" w:lineRule="auto"/>
      </w:pPr>
      <w:r>
        <w:t>Σιφώνια</w:t>
      </w:r>
    </w:p>
    <w:p w:rsidR="00C0670B" w:rsidRDefault="00C0670B" w:rsidP="00955E96">
      <w:pPr>
        <w:pStyle w:val="a3"/>
        <w:numPr>
          <w:ilvl w:val="0"/>
          <w:numId w:val="7"/>
        </w:numPr>
        <w:spacing w:line="360" w:lineRule="auto"/>
      </w:pPr>
      <w:r>
        <w:t>Κυψέλες μέτρησης</w:t>
      </w:r>
    </w:p>
    <w:p w:rsidR="00C0670B" w:rsidRDefault="00C0670B" w:rsidP="00955E96">
      <w:pPr>
        <w:pStyle w:val="a3"/>
        <w:numPr>
          <w:ilvl w:val="0"/>
          <w:numId w:val="7"/>
        </w:numPr>
        <w:spacing w:line="360" w:lineRule="auto"/>
      </w:pPr>
      <w:r>
        <w:t xml:space="preserve">Αντιδραστήρια μέτρησης   </w:t>
      </w:r>
    </w:p>
    <w:p w:rsidR="00C0670B" w:rsidRPr="00C0670B" w:rsidRDefault="00C0670B" w:rsidP="00955E96">
      <w:pPr>
        <w:pStyle w:val="a3"/>
        <w:numPr>
          <w:ilvl w:val="0"/>
          <w:numId w:val="7"/>
        </w:numPr>
        <w:spacing w:line="360" w:lineRule="auto"/>
      </w:pPr>
      <w:r>
        <w:t>Συσκευή χώνευσης</w:t>
      </w:r>
      <w:r w:rsidRPr="00955E96">
        <w:rPr>
          <w:lang w:val="en-US"/>
        </w:rPr>
        <w:t xml:space="preserve"> (</w:t>
      </w:r>
      <w:r>
        <w:t>Φούρνος)</w:t>
      </w:r>
    </w:p>
    <w:p w:rsidR="00C0670B" w:rsidRDefault="00C0670B" w:rsidP="00955E96">
      <w:pPr>
        <w:pStyle w:val="a3"/>
        <w:numPr>
          <w:ilvl w:val="0"/>
          <w:numId w:val="7"/>
        </w:numPr>
        <w:jc w:val="both"/>
      </w:pPr>
      <w:proofErr w:type="spellStart"/>
      <w:r>
        <w:t>Φασματοφωτόμετρο</w:t>
      </w:r>
      <w:proofErr w:type="spellEnd"/>
    </w:p>
    <w:p w:rsidR="00955E96" w:rsidRPr="00C0670B" w:rsidRDefault="00955E96" w:rsidP="00C0670B">
      <w:pPr>
        <w:jc w:val="both"/>
      </w:pPr>
    </w:p>
    <w:p w:rsidR="003B6E66" w:rsidRDefault="003B6E66" w:rsidP="003B6E66">
      <w:pPr>
        <w:spacing w:line="360" w:lineRule="auto"/>
        <w:jc w:val="both"/>
        <w:rPr>
          <w:b/>
          <w:u w:val="single"/>
        </w:rPr>
      </w:pPr>
      <w:r w:rsidRPr="006F3F60">
        <w:rPr>
          <w:b/>
          <w:u w:val="single"/>
        </w:rPr>
        <w:t>Μέτρηση ολικού φωσφόρου</w:t>
      </w:r>
    </w:p>
    <w:p w:rsidR="00C0670B" w:rsidRPr="00C0670B" w:rsidRDefault="00C0670B" w:rsidP="003B6E66">
      <w:pPr>
        <w:spacing w:line="360" w:lineRule="auto"/>
        <w:jc w:val="both"/>
      </w:pPr>
      <w:r>
        <w:t xml:space="preserve">Για τον προσδιορισμό του </w:t>
      </w:r>
      <w:r>
        <w:rPr>
          <w:lang w:val="en-US"/>
        </w:rPr>
        <w:t>TP</w:t>
      </w:r>
      <w:r w:rsidRPr="00C0670B">
        <w:t xml:space="preserve"> </w:t>
      </w:r>
      <w:r>
        <w:t xml:space="preserve">χρησιμοποιήσαμε </w:t>
      </w:r>
      <w:proofErr w:type="spellStart"/>
      <w:r>
        <w:t>κιτ</w:t>
      </w:r>
      <w:proofErr w:type="spellEnd"/>
      <w:r>
        <w:t xml:space="preserve"> προσδιορισμού </w:t>
      </w:r>
      <w:r>
        <w:rPr>
          <w:lang w:val="en-US"/>
        </w:rPr>
        <w:t>LCK</w:t>
      </w:r>
      <w:r w:rsidRPr="00C0670B">
        <w:t xml:space="preserve">350 </w:t>
      </w:r>
      <w:r>
        <w:t xml:space="preserve">της εταιρίας </w:t>
      </w:r>
      <w:proofErr w:type="spellStart"/>
      <w:r>
        <w:rPr>
          <w:lang w:val="en-US"/>
        </w:rPr>
        <w:t>Hach</w:t>
      </w:r>
      <w:proofErr w:type="spellEnd"/>
      <w:r w:rsidRPr="00C0670B">
        <w:t>.</w:t>
      </w:r>
    </w:p>
    <w:p w:rsidR="003B6E66" w:rsidRPr="004A506A" w:rsidRDefault="003B6E66" w:rsidP="003B6E66">
      <w:pPr>
        <w:numPr>
          <w:ilvl w:val="0"/>
          <w:numId w:val="4"/>
        </w:numPr>
        <w:spacing w:after="0" w:line="360" w:lineRule="auto"/>
      </w:pPr>
      <w:r>
        <w:lastRenderedPageBreak/>
        <w:t xml:space="preserve">ΠΕΡΙΟΧΗ ΤΙΜΏΝ ΜΕΤΡΗΣΗΣ : </w:t>
      </w:r>
      <w:r w:rsidR="00C0670B" w:rsidRPr="00C0670B">
        <w:t>2-20</w:t>
      </w:r>
      <w:r>
        <w:t xml:space="preserve"> </w:t>
      </w:r>
      <w:r>
        <w:rPr>
          <w:lang w:val="en-GB"/>
        </w:rPr>
        <w:t>ppm</w:t>
      </w:r>
      <w:r>
        <w:t xml:space="preserve"> (</w:t>
      </w:r>
      <w:r>
        <w:rPr>
          <w:lang w:val="en-GB"/>
        </w:rPr>
        <w:t>mg</w:t>
      </w:r>
      <w:r w:rsidRPr="004913AC">
        <w:t>/</w:t>
      </w:r>
      <w:r>
        <w:rPr>
          <w:lang w:val="en-GB"/>
        </w:rPr>
        <w:t>l</w:t>
      </w:r>
      <w:r w:rsidRPr="004913AC">
        <w:t xml:space="preserve"> </w:t>
      </w:r>
      <w:r>
        <w:rPr>
          <w:lang w:val="en-GB"/>
        </w:rPr>
        <w:t>PO</w:t>
      </w:r>
      <w:r w:rsidRPr="006A2D86">
        <w:rPr>
          <w:vertAlign w:val="subscript"/>
        </w:rPr>
        <w:t>4</w:t>
      </w:r>
      <w:r w:rsidRPr="006A2D86">
        <w:t>-</w:t>
      </w:r>
      <w:r>
        <w:rPr>
          <w:lang w:val="en-GB"/>
        </w:rPr>
        <w:t>P</w:t>
      </w:r>
      <w:r>
        <w:t>)</w:t>
      </w:r>
      <w:r w:rsidRPr="004913AC">
        <w:t xml:space="preserve"> </w:t>
      </w:r>
    </w:p>
    <w:p w:rsidR="003B6E66" w:rsidRDefault="003B6E66" w:rsidP="003B6E66">
      <w:pPr>
        <w:spacing w:line="360" w:lineRule="auto"/>
        <w:jc w:val="both"/>
        <w:rPr>
          <w:u w:val="single"/>
        </w:rPr>
      </w:pPr>
      <w:r>
        <w:rPr>
          <w:u w:val="single"/>
        </w:rPr>
        <w:t>Προετοιμασία δείγματος: χώνευση για τον προσδιορισμό του ολικού φωσφόρου</w:t>
      </w:r>
    </w:p>
    <w:p w:rsidR="003B6E66" w:rsidRDefault="003B6E66" w:rsidP="003B6E66">
      <w:pPr>
        <w:numPr>
          <w:ilvl w:val="0"/>
          <w:numId w:val="3"/>
        </w:numPr>
        <w:spacing w:after="0" w:line="360" w:lineRule="auto"/>
      </w:pPr>
      <w:r>
        <w:t xml:space="preserve">Προσθέτουμε σε ειδική </w:t>
      </w:r>
      <w:r w:rsidRPr="00334ED4">
        <w:t xml:space="preserve">κυψέλη </w:t>
      </w:r>
      <w:r w:rsidR="00C0670B" w:rsidRPr="00C0670B">
        <w:t>0.4</w:t>
      </w:r>
      <w:r w:rsidRPr="00334ED4">
        <w:t>ml</w:t>
      </w:r>
      <w:r w:rsidRPr="00864636">
        <w:t xml:space="preserve"> </w:t>
      </w:r>
      <w:r w:rsidRPr="00334ED4">
        <w:t>δείγματος</w:t>
      </w:r>
      <w:r>
        <w:t xml:space="preserve">, μετά </w:t>
      </w:r>
      <w:proofErr w:type="spellStart"/>
      <w:r>
        <w:t>απο</w:t>
      </w:r>
      <w:proofErr w:type="spellEnd"/>
      <w:r>
        <w:t xml:space="preserve"> καλή ανάδευση.</w:t>
      </w:r>
      <w:r w:rsidRPr="00334ED4">
        <w:t xml:space="preserve"> </w:t>
      </w:r>
    </w:p>
    <w:p w:rsidR="003B6E66" w:rsidRPr="00334ED4" w:rsidRDefault="003B6E66" w:rsidP="003B6E66">
      <w:pPr>
        <w:numPr>
          <w:ilvl w:val="0"/>
          <w:numId w:val="3"/>
        </w:numPr>
        <w:spacing w:after="0" w:line="360" w:lineRule="auto"/>
      </w:pPr>
      <w:r w:rsidRPr="00334ED4">
        <w:t>Προσθ</w:t>
      </w:r>
      <w:r>
        <w:t>έτουμε μια δόση</w:t>
      </w:r>
      <w:r w:rsidRPr="00334ED4">
        <w:t xml:space="preserve"> αντιδραστ</w:t>
      </w:r>
      <w:r>
        <w:t xml:space="preserve">ήριο </w:t>
      </w:r>
      <w:r w:rsidRPr="00864636">
        <w:t>(</w:t>
      </w:r>
      <w:proofErr w:type="spellStart"/>
      <w:r>
        <w:t>δοσομετρικό</w:t>
      </w:r>
      <w:proofErr w:type="spellEnd"/>
      <w:r>
        <w:t xml:space="preserve"> καπάκι)</w:t>
      </w:r>
      <w:r w:rsidR="00C0670B" w:rsidRPr="00C0670B">
        <w:t>.</w:t>
      </w:r>
    </w:p>
    <w:p w:rsidR="003B6E66" w:rsidRDefault="003B6E66" w:rsidP="003B6E66">
      <w:pPr>
        <w:numPr>
          <w:ilvl w:val="0"/>
          <w:numId w:val="3"/>
        </w:numPr>
        <w:spacing w:after="0" w:line="360" w:lineRule="auto"/>
      </w:pPr>
      <w:r w:rsidRPr="00334ED4">
        <w:t xml:space="preserve">Κλείνουμε </w:t>
      </w:r>
      <w:r>
        <w:t xml:space="preserve">αεροστεγώς </w:t>
      </w:r>
      <w:r w:rsidRPr="00334ED4">
        <w:t xml:space="preserve">και ανακατεύουμε </w:t>
      </w:r>
      <w:r>
        <w:t xml:space="preserve">καλά </w:t>
      </w:r>
      <w:r w:rsidRPr="00334ED4">
        <w:t>την κυψέλη</w:t>
      </w:r>
      <w:r>
        <w:t>.</w:t>
      </w:r>
    </w:p>
    <w:p w:rsidR="003B6E66" w:rsidRDefault="003B6E66" w:rsidP="003B6E66">
      <w:pPr>
        <w:numPr>
          <w:ilvl w:val="0"/>
          <w:numId w:val="3"/>
        </w:numPr>
        <w:spacing w:after="0" w:line="360" w:lineRule="auto"/>
      </w:pPr>
      <w:r w:rsidRPr="00864636">
        <w:t xml:space="preserve">Θερμαίνουμε την κυψέλη στους 120 </w:t>
      </w:r>
      <w:proofErr w:type="spellStart"/>
      <w:r w:rsidRPr="00864636">
        <w:rPr>
          <w:vertAlign w:val="superscript"/>
        </w:rPr>
        <w:t>ο</w:t>
      </w:r>
      <w:r w:rsidRPr="00185654">
        <w:t>C</w:t>
      </w:r>
      <w:proofErr w:type="spellEnd"/>
      <w:r w:rsidRPr="00864636">
        <w:rPr>
          <w:vertAlign w:val="superscript"/>
        </w:rPr>
        <w:t xml:space="preserve"> </w:t>
      </w:r>
      <w:r w:rsidRPr="00864636">
        <w:t xml:space="preserve">για </w:t>
      </w:r>
      <w:r>
        <w:t>3</w:t>
      </w:r>
      <w:r w:rsidRPr="00864636">
        <w:t>0 λεπτά</w:t>
      </w:r>
      <w:r w:rsidR="00C0670B" w:rsidRPr="00C0670B">
        <w:t>.</w:t>
      </w:r>
    </w:p>
    <w:p w:rsidR="003B6E66" w:rsidRDefault="003B6E66" w:rsidP="003B6E66">
      <w:pPr>
        <w:numPr>
          <w:ilvl w:val="0"/>
          <w:numId w:val="3"/>
        </w:numPr>
        <w:spacing w:after="0" w:line="360" w:lineRule="auto"/>
      </w:pPr>
      <w:r w:rsidRPr="00864636">
        <w:t>Αφήνουμε να κρυώ</w:t>
      </w:r>
      <w:r>
        <w:t>σει σε θερμοκρασία δωματίου</w:t>
      </w:r>
    </w:p>
    <w:p w:rsidR="003B6E66" w:rsidRPr="00FF531A" w:rsidRDefault="003B6E66" w:rsidP="003B6E66">
      <w:pPr>
        <w:spacing w:line="360" w:lineRule="auto"/>
        <w:rPr>
          <w:u w:val="single"/>
        </w:rPr>
      </w:pPr>
      <w:r w:rsidRPr="00FF531A">
        <w:rPr>
          <w:u w:val="single"/>
        </w:rPr>
        <w:t xml:space="preserve">Διαδικασία </w:t>
      </w:r>
      <w:proofErr w:type="spellStart"/>
      <w:r w:rsidRPr="00FF531A">
        <w:rPr>
          <w:u w:val="single"/>
        </w:rPr>
        <w:t>μετρησης</w:t>
      </w:r>
      <w:proofErr w:type="spellEnd"/>
    </w:p>
    <w:p w:rsidR="003B6E66" w:rsidRDefault="003B6E66" w:rsidP="003B6E66">
      <w:pPr>
        <w:numPr>
          <w:ilvl w:val="0"/>
          <w:numId w:val="3"/>
        </w:numPr>
        <w:spacing w:after="0" w:line="360" w:lineRule="auto"/>
      </w:pPr>
      <w:r>
        <w:t xml:space="preserve">Ανακατεύουμε το δείγμα αφού </w:t>
      </w:r>
      <w:proofErr w:type="spellStart"/>
      <w:r>
        <w:t>εχει</w:t>
      </w:r>
      <w:proofErr w:type="spellEnd"/>
      <w:r>
        <w:t xml:space="preserve"> κρυώσει και π</w:t>
      </w:r>
      <w:r w:rsidRPr="00334ED4">
        <w:t xml:space="preserve">ροσθέτουμε </w:t>
      </w:r>
      <w:r w:rsidR="00C0670B" w:rsidRPr="00C0670B">
        <w:t>0.</w:t>
      </w:r>
      <w:r>
        <w:t xml:space="preserve">5 </w:t>
      </w:r>
      <w:r w:rsidR="00C0670B">
        <w:rPr>
          <w:lang w:val="en-US"/>
        </w:rPr>
        <w:t>ml</w:t>
      </w:r>
      <w:r w:rsidR="00C0670B" w:rsidRPr="00C0670B">
        <w:t xml:space="preserve"> </w:t>
      </w:r>
      <w:r w:rsidRPr="00864636">
        <w:t xml:space="preserve"> </w:t>
      </w:r>
      <w:r>
        <w:t xml:space="preserve">από το </w:t>
      </w:r>
      <w:r w:rsidRPr="00334ED4">
        <w:t>αντιδραστ</w:t>
      </w:r>
      <w:r>
        <w:t xml:space="preserve">ήριο </w:t>
      </w:r>
      <w:r w:rsidR="00C0670B">
        <w:rPr>
          <w:lang w:val="en-US"/>
        </w:rPr>
        <w:t>B</w:t>
      </w:r>
      <w:r w:rsidR="00C0670B" w:rsidRPr="00C0670B">
        <w:t>.</w:t>
      </w:r>
    </w:p>
    <w:p w:rsidR="00C0670B" w:rsidRPr="00334ED4" w:rsidRDefault="00C0670B" w:rsidP="00C0670B">
      <w:pPr>
        <w:numPr>
          <w:ilvl w:val="0"/>
          <w:numId w:val="3"/>
        </w:numPr>
        <w:spacing w:after="0" w:line="360" w:lineRule="auto"/>
      </w:pPr>
      <w:r w:rsidRPr="00334ED4">
        <w:t>Προσθ</w:t>
      </w:r>
      <w:r>
        <w:t>έτουμε μια δόση</w:t>
      </w:r>
      <w:r w:rsidRPr="00334ED4">
        <w:t xml:space="preserve"> αντιδραστ</w:t>
      </w:r>
      <w:r>
        <w:t xml:space="preserve">ήριο </w:t>
      </w:r>
      <w:r w:rsidRPr="00864636">
        <w:t>(</w:t>
      </w:r>
      <w:proofErr w:type="spellStart"/>
      <w:r>
        <w:t>δοσομετρικό</w:t>
      </w:r>
      <w:proofErr w:type="spellEnd"/>
      <w:r>
        <w:t xml:space="preserve"> καπάκι</w:t>
      </w:r>
      <w:r w:rsidRPr="00C0670B">
        <w:t xml:space="preserve"> </w:t>
      </w:r>
      <w:r>
        <w:rPr>
          <w:lang w:val="en-US"/>
        </w:rPr>
        <w:t>C</w:t>
      </w:r>
      <w:r>
        <w:t>)</w:t>
      </w:r>
      <w:r w:rsidRPr="00C0670B">
        <w:t>.</w:t>
      </w:r>
    </w:p>
    <w:p w:rsidR="003B6E66" w:rsidRDefault="003B6E66" w:rsidP="003B6E66">
      <w:pPr>
        <w:numPr>
          <w:ilvl w:val="0"/>
          <w:numId w:val="3"/>
        </w:numPr>
        <w:spacing w:after="0" w:line="360" w:lineRule="auto"/>
      </w:pPr>
      <w:r w:rsidRPr="00334ED4">
        <w:t xml:space="preserve">Κλείνουμε και ανακατεύουμε </w:t>
      </w:r>
      <w:r>
        <w:t xml:space="preserve">καλά </w:t>
      </w:r>
      <w:r w:rsidRPr="00334ED4">
        <w:t>την κυψέλη</w:t>
      </w:r>
    </w:p>
    <w:p w:rsidR="003B6E66" w:rsidRPr="00B63199" w:rsidRDefault="003B6E66" w:rsidP="003B6E66">
      <w:pPr>
        <w:numPr>
          <w:ilvl w:val="0"/>
          <w:numId w:val="3"/>
        </w:numPr>
        <w:spacing w:after="0" w:line="360" w:lineRule="auto"/>
      </w:pPr>
      <w:r w:rsidRPr="00864636">
        <w:t xml:space="preserve">Αφήνουμε </w:t>
      </w:r>
      <w:r w:rsidR="00C0670B">
        <w:t>10</w:t>
      </w:r>
      <w:r w:rsidRPr="00864636">
        <w:t xml:space="preserve"> λεπτά να αντιδράσει και μετράμε στο φωτόμετρο</w:t>
      </w:r>
    </w:p>
    <w:p w:rsidR="003B6E66" w:rsidRDefault="003B6E66" w:rsidP="003B6E66">
      <w:pPr>
        <w:ind w:left="426"/>
        <w:jc w:val="both"/>
        <w:rPr>
          <w:rFonts w:ascii="Calibri" w:hAnsi="Calibri"/>
        </w:rPr>
      </w:pPr>
    </w:p>
    <w:p w:rsidR="003B6E66" w:rsidRPr="003B6E66" w:rsidRDefault="003B6E66" w:rsidP="003B6E66">
      <w:pPr>
        <w:pStyle w:val="a3"/>
        <w:numPr>
          <w:ilvl w:val="0"/>
          <w:numId w:val="1"/>
        </w:numPr>
        <w:jc w:val="both"/>
        <w:rPr>
          <w:rFonts w:ascii="Calibri" w:hAnsi="Calibri"/>
          <w:b/>
          <w:color w:val="2F5496" w:themeColor="accent5" w:themeShade="BF"/>
          <w:sz w:val="28"/>
          <w:szCs w:val="28"/>
        </w:rPr>
      </w:pPr>
      <w:r w:rsidRPr="003B6E66">
        <w:rPr>
          <w:rFonts w:ascii="Calibri" w:hAnsi="Calibri"/>
          <w:b/>
          <w:color w:val="2F5496" w:themeColor="accent5" w:themeShade="BF"/>
          <w:sz w:val="28"/>
          <w:szCs w:val="28"/>
          <w:lang w:val="en-US"/>
        </w:rPr>
        <w:t>TN</w:t>
      </w:r>
    </w:p>
    <w:p w:rsidR="003B6E66" w:rsidRPr="003B6E66" w:rsidRDefault="003B6E66" w:rsidP="003B6E66">
      <w:pPr>
        <w:ind w:left="426"/>
        <w:jc w:val="both"/>
        <w:rPr>
          <w:rFonts w:ascii="Calibri" w:hAnsi="Calibri"/>
        </w:rPr>
      </w:pPr>
      <w:r w:rsidRPr="003B6E66">
        <w:rPr>
          <w:rFonts w:ascii="Calibri" w:hAnsi="Calibri"/>
        </w:rPr>
        <w:t xml:space="preserve">Το </w:t>
      </w:r>
      <w:r w:rsidRPr="003B6E66">
        <w:rPr>
          <w:rFonts w:ascii="Calibri" w:hAnsi="Calibri"/>
          <w:b/>
        </w:rPr>
        <w:t>Άζωτο</w:t>
      </w:r>
      <w:r w:rsidRPr="003B6E66">
        <w:rPr>
          <w:rFonts w:ascii="Calibri" w:hAnsi="Calibri"/>
        </w:rPr>
        <w:t xml:space="preserve"> είναι απαραίτητο για την ανάπτυξη μικροοργανισμών.  Περίσσεια αζώτου οδηγεί σε ανάπτυξη </w:t>
      </w:r>
      <w:proofErr w:type="spellStart"/>
      <w:r w:rsidRPr="003B6E66">
        <w:rPr>
          <w:rFonts w:ascii="Calibri" w:hAnsi="Calibri"/>
        </w:rPr>
        <w:t>άλγεων</w:t>
      </w:r>
      <w:proofErr w:type="spellEnd"/>
      <w:r w:rsidRPr="003B6E66">
        <w:rPr>
          <w:rFonts w:ascii="Calibri" w:hAnsi="Calibri"/>
        </w:rPr>
        <w:t xml:space="preserve"> (ευτροφισμός) στα νερά και ιδιαίτερα στο θαλασσινό νερό αποτελεί τον κύριο περιοριστικό παράγοντα, ενώ έλλειψη αζώτου οδηγεί σε μη κατάλληλο νερό για ανάπτυξη μικροβίων (βιολογικός καθαρισμός).  Οι κύριες μορφές του αζώτου στα νερά και λύματα είναι τα νιτρικά ,τα νιτρώδη , οι οργανικές ενώσεις του αζώτου (ουρία , αμινοξέα, </w:t>
      </w:r>
      <w:proofErr w:type="spellStart"/>
      <w:r w:rsidRPr="003B6E66">
        <w:rPr>
          <w:rFonts w:ascii="Calibri" w:hAnsi="Calibri"/>
        </w:rPr>
        <w:t>πρωτείνες</w:t>
      </w:r>
      <w:proofErr w:type="spellEnd"/>
      <w:r w:rsidRPr="003B6E66">
        <w:rPr>
          <w:rFonts w:ascii="Calibri" w:hAnsi="Calibri"/>
        </w:rPr>
        <w:t xml:space="preserve">, </w:t>
      </w:r>
      <w:proofErr w:type="spellStart"/>
      <w:r w:rsidRPr="003B6E66">
        <w:rPr>
          <w:rFonts w:ascii="Calibri" w:hAnsi="Calibri"/>
        </w:rPr>
        <w:t>νουκλεοτίδια</w:t>
      </w:r>
      <w:proofErr w:type="spellEnd"/>
      <w:r w:rsidRPr="003B6E66">
        <w:rPr>
          <w:rFonts w:ascii="Calibri" w:hAnsi="Calibri"/>
        </w:rPr>
        <w:t xml:space="preserve"> κ.α.), η αμμωνία και το ελεύθερο άζωτο.  Το άζωτο που μετράμε σε ένα για παράδειγμα δείγμα υγρών αποβλήτων είναι το άθροισμα των παραπάνω αυτών διαφορετικών μορφών και ονομάζεται ολικό άζωτο.  </w:t>
      </w:r>
    </w:p>
    <w:p w:rsidR="003B6E66" w:rsidRDefault="003B6E66" w:rsidP="003B6E66">
      <w:pPr>
        <w:ind w:left="426"/>
        <w:jc w:val="both"/>
        <w:rPr>
          <w:rFonts w:ascii="Calibri" w:hAnsi="Calibri"/>
        </w:rPr>
      </w:pPr>
      <w:r w:rsidRPr="003B6E66">
        <w:rPr>
          <w:rFonts w:ascii="Calibri" w:hAnsi="Calibri"/>
        </w:rPr>
        <w:t>Το άζωτο στα αστικά λύματα προκύπτει από τις ανθρώπινες εκκρίσεις, τα σκουπίδια και τα βιομηχανικά απορρίμματα κυρίως της βιομηχανίας των τροφίμων.  Το 40% είναι υπό τη μορφή αμμωνίας η οποία βρίσκεται σε ισορροπία με ιόντα αμμωνίου:  ΝΗ</w:t>
      </w:r>
      <w:r w:rsidRPr="003B6E66">
        <w:rPr>
          <w:rFonts w:ascii="Calibri" w:hAnsi="Calibri"/>
          <w:vertAlign w:val="subscript"/>
        </w:rPr>
        <w:t>3</w:t>
      </w:r>
      <w:r w:rsidRPr="003B6E66">
        <w:rPr>
          <w:rFonts w:ascii="Calibri" w:hAnsi="Calibri"/>
        </w:rPr>
        <w:t xml:space="preserve"> + Η</w:t>
      </w:r>
      <w:r w:rsidRPr="003B6E66">
        <w:rPr>
          <w:rFonts w:ascii="Calibri" w:hAnsi="Calibri"/>
          <w:vertAlign w:val="subscript"/>
        </w:rPr>
        <w:t>2</w:t>
      </w:r>
      <w:r w:rsidRPr="003B6E66">
        <w:rPr>
          <w:rFonts w:ascii="Calibri" w:hAnsi="Calibri"/>
        </w:rPr>
        <w:t>Ο ↔ ΝΗ</w:t>
      </w:r>
      <w:r w:rsidRPr="003B6E66">
        <w:rPr>
          <w:rFonts w:ascii="Calibri" w:hAnsi="Calibri"/>
          <w:vertAlign w:val="subscript"/>
        </w:rPr>
        <w:t>4</w:t>
      </w:r>
      <w:r w:rsidRPr="003B6E66">
        <w:rPr>
          <w:rFonts w:ascii="Calibri" w:hAnsi="Calibri"/>
          <w:vertAlign w:val="superscript"/>
        </w:rPr>
        <w:t>+</w:t>
      </w:r>
      <w:r w:rsidRPr="003B6E66">
        <w:rPr>
          <w:rFonts w:ascii="Calibri" w:hAnsi="Calibri"/>
        </w:rPr>
        <w:t xml:space="preserve"> + ΟΗ  (για </w:t>
      </w:r>
      <w:r w:rsidRPr="003B6E66">
        <w:rPr>
          <w:rFonts w:ascii="Calibri" w:hAnsi="Calibri"/>
          <w:lang w:val="en-GB"/>
        </w:rPr>
        <w:t>pH</w:t>
      </w:r>
      <w:r w:rsidRPr="003B6E66">
        <w:rPr>
          <w:rFonts w:ascii="Calibri" w:hAnsi="Calibri"/>
        </w:rPr>
        <w:t>&gt;7 (αλκαλικό διάλυμα) η ισορροπία μετατοπίζεται αριστερά), ενώ περίπου το 60% είναι ενωμένο οργανικά.  Το οργανικό άζωτο μετατρέπεται αργά σε αμμωνία.  Τέλος το άζωτο βρίσκεται σε ιόντα ΝΟ</w:t>
      </w:r>
      <w:r w:rsidRPr="003B6E66">
        <w:rPr>
          <w:rFonts w:ascii="Calibri" w:hAnsi="Calibri"/>
          <w:vertAlign w:val="subscript"/>
        </w:rPr>
        <w:t>2</w:t>
      </w:r>
      <w:r w:rsidRPr="003B6E66">
        <w:rPr>
          <w:rFonts w:ascii="Calibri" w:hAnsi="Calibri"/>
          <w:vertAlign w:val="superscript"/>
        </w:rPr>
        <w:t>-</w:t>
      </w:r>
      <w:r w:rsidRPr="003B6E66">
        <w:rPr>
          <w:rFonts w:ascii="Calibri" w:hAnsi="Calibri"/>
        </w:rPr>
        <w:t xml:space="preserve"> (τυπικά σε συγκεντρώσεις μικρότερες από 1</w:t>
      </w:r>
      <w:r w:rsidRPr="003B6E66">
        <w:rPr>
          <w:rFonts w:ascii="Calibri" w:hAnsi="Calibri"/>
          <w:lang w:val="en-GB"/>
        </w:rPr>
        <w:t>mg</w:t>
      </w:r>
      <w:r w:rsidRPr="003B6E66">
        <w:rPr>
          <w:rFonts w:ascii="Calibri" w:hAnsi="Calibri"/>
        </w:rPr>
        <w:t>/</w:t>
      </w:r>
      <w:r w:rsidRPr="003B6E66">
        <w:rPr>
          <w:rFonts w:ascii="Calibri" w:hAnsi="Calibri"/>
          <w:lang w:val="en-GB"/>
        </w:rPr>
        <w:t>l</w:t>
      </w:r>
      <w:r w:rsidRPr="003B6E66">
        <w:rPr>
          <w:rFonts w:ascii="Calibri" w:hAnsi="Calibri"/>
        </w:rPr>
        <w:t xml:space="preserve"> μια και γρήγορα οξειδώνονται σε νιτρικά) και ΝΟ</w:t>
      </w:r>
      <w:r w:rsidRPr="003B6E66">
        <w:rPr>
          <w:rFonts w:ascii="Calibri" w:hAnsi="Calibri"/>
          <w:vertAlign w:val="subscript"/>
        </w:rPr>
        <w:t>3</w:t>
      </w:r>
      <w:r w:rsidRPr="003B6E66">
        <w:rPr>
          <w:rFonts w:ascii="Calibri" w:hAnsi="Calibri"/>
          <w:vertAlign w:val="superscript"/>
        </w:rPr>
        <w:t>-</w:t>
      </w:r>
      <w:r w:rsidRPr="003B6E66">
        <w:rPr>
          <w:rFonts w:ascii="Calibri" w:hAnsi="Calibri"/>
        </w:rPr>
        <w:t xml:space="preserve"> τα οποία σε συγκεντρώσεις άνω των 45</w:t>
      </w:r>
      <w:r w:rsidRPr="003B6E66">
        <w:rPr>
          <w:rFonts w:ascii="Calibri" w:hAnsi="Calibri"/>
          <w:lang w:val="en-GB"/>
        </w:rPr>
        <w:t>mg</w:t>
      </w:r>
      <w:r w:rsidRPr="003B6E66">
        <w:rPr>
          <w:rFonts w:ascii="Calibri" w:hAnsi="Calibri"/>
        </w:rPr>
        <w:t>/</w:t>
      </w:r>
      <w:r w:rsidRPr="003B6E66">
        <w:rPr>
          <w:rFonts w:ascii="Calibri" w:hAnsi="Calibri"/>
          <w:lang w:val="en-GB"/>
        </w:rPr>
        <w:t>l</w:t>
      </w:r>
      <w:r w:rsidRPr="003B6E66">
        <w:rPr>
          <w:rFonts w:ascii="Calibri" w:hAnsi="Calibri"/>
        </w:rPr>
        <w:t xml:space="preserve"> είναι επικίνδυνα για την υγεία.  </w:t>
      </w:r>
    </w:p>
    <w:p w:rsidR="003B6E66" w:rsidRPr="003B6E66" w:rsidRDefault="003B6E66" w:rsidP="003B6E66">
      <w:pPr>
        <w:ind w:left="426"/>
        <w:jc w:val="both"/>
        <w:rPr>
          <w:rFonts w:ascii="Calibri" w:hAnsi="Calibri"/>
        </w:rPr>
      </w:pPr>
      <w:r w:rsidRPr="003B6E66">
        <w:rPr>
          <w:rFonts w:ascii="Calibri" w:hAnsi="Calibri"/>
        </w:rPr>
        <w:t xml:space="preserve">Στα απόβλητα οι συγκεντρώσεις νιτρικών είναι μικρές.  Η συνολική συνεισφορά σε ολικό άζωτο ανά κάτοικο είναι της τάξης των 4-6 </w:t>
      </w:r>
      <w:r w:rsidRPr="003B6E66">
        <w:rPr>
          <w:rFonts w:ascii="Calibri" w:hAnsi="Calibri"/>
          <w:lang w:val="en-US"/>
        </w:rPr>
        <w:t>kg</w:t>
      </w:r>
      <w:r w:rsidRPr="003B6E66">
        <w:rPr>
          <w:rFonts w:ascii="Calibri" w:hAnsi="Calibri"/>
        </w:rPr>
        <w:t>/</w:t>
      </w:r>
      <w:proofErr w:type="spellStart"/>
      <w:r w:rsidRPr="003B6E66">
        <w:rPr>
          <w:rFonts w:ascii="Calibri" w:hAnsi="Calibri"/>
        </w:rPr>
        <w:t>άτομο</w:t>
      </w:r>
      <w:r w:rsidRPr="003B6E66">
        <w:rPr>
          <w:rFonts w:ascii="Calibri" w:hAnsi="Calibri"/>
          <w:vertAlign w:val="superscript"/>
        </w:rPr>
        <w:t>.</w:t>
      </w:r>
      <w:r w:rsidRPr="003B6E66">
        <w:rPr>
          <w:rFonts w:ascii="Calibri" w:hAnsi="Calibri"/>
        </w:rPr>
        <w:t>ετος</w:t>
      </w:r>
      <w:proofErr w:type="spellEnd"/>
      <w:r w:rsidRPr="003B6E66">
        <w:rPr>
          <w:rFonts w:ascii="Calibri" w:hAnsi="Calibri"/>
        </w:rPr>
        <w:t xml:space="preserve"> και η μέση συγκέντρωση στα αστικά απόβλητα είναι 35 - 40 </w:t>
      </w:r>
      <w:r w:rsidRPr="003B6E66">
        <w:rPr>
          <w:rFonts w:ascii="Calibri" w:hAnsi="Calibri"/>
          <w:lang w:val="en-US"/>
        </w:rPr>
        <w:t>mg</w:t>
      </w:r>
      <w:r w:rsidRPr="003B6E66">
        <w:rPr>
          <w:rFonts w:ascii="Calibri" w:hAnsi="Calibri"/>
        </w:rPr>
        <w:t>/</w:t>
      </w:r>
      <w:r w:rsidRPr="003B6E66">
        <w:rPr>
          <w:rFonts w:ascii="Calibri" w:hAnsi="Calibri"/>
          <w:lang w:val="en-US"/>
        </w:rPr>
        <w:t>l</w:t>
      </w:r>
      <w:r w:rsidRPr="003B6E66">
        <w:rPr>
          <w:rFonts w:ascii="Calibri" w:hAnsi="Calibri"/>
        </w:rPr>
        <w:t xml:space="preserve"> </w:t>
      </w:r>
      <w:r w:rsidRPr="003B6E66">
        <w:rPr>
          <w:rFonts w:ascii="Calibri" w:hAnsi="Calibri"/>
          <w:lang w:val="en-US"/>
        </w:rPr>
        <w:t>N</w:t>
      </w:r>
      <w:r w:rsidRPr="003B6E66">
        <w:rPr>
          <w:rFonts w:ascii="Calibri" w:hAnsi="Calibri"/>
        </w:rPr>
        <w:t>.</w:t>
      </w:r>
    </w:p>
    <w:p w:rsidR="003B6E66" w:rsidRDefault="003B6E66" w:rsidP="003B6E66">
      <w:pPr>
        <w:pStyle w:val="a3"/>
        <w:ind w:left="426"/>
        <w:jc w:val="both"/>
        <w:rPr>
          <w:rFonts w:ascii="Calibri" w:hAnsi="Calibri"/>
        </w:rPr>
      </w:pPr>
      <w:r w:rsidRPr="003B6E66">
        <w:rPr>
          <w:rFonts w:ascii="Calibri" w:hAnsi="Calibri"/>
        </w:rPr>
        <w:t xml:space="preserve">Η μέτρηση του ολικού αζώτου γίνεται με τη βοήθεια της μεθόδου </w:t>
      </w:r>
      <w:proofErr w:type="spellStart"/>
      <w:r w:rsidRPr="003B6E66">
        <w:rPr>
          <w:rFonts w:ascii="Calibri" w:hAnsi="Calibri"/>
          <w:lang w:val="en-GB"/>
        </w:rPr>
        <w:t>Kjeldahl</w:t>
      </w:r>
      <w:proofErr w:type="spellEnd"/>
      <w:r w:rsidRPr="003B6E66">
        <w:rPr>
          <w:rFonts w:ascii="Calibri" w:hAnsi="Calibri"/>
        </w:rPr>
        <w:t xml:space="preserve"> που αποτελεί μια από τις πιο χρονοβόρες διαδικασίες μέτρησης ολικού αζώτου τόσο σε υγρά όσο και σε στερεά δείγματα.</w:t>
      </w:r>
    </w:p>
    <w:p w:rsidR="003B6E66" w:rsidRPr="003B6E66" w:rsidRDefault="003B6E66" w:rsidP="003B6E66">
      <w:pPr>
        <w:pStyle w:val="a3"/>
        <w:ind w:left="426"/>
        <w:jc w:val="both"/>
        <w:rPr>
          <w:rFonts w:ascii="Calibri" w:hAnsi="Calibri"/>
        </w:rPr>
      </w:pPr>
    </w:p>
    <w:p w:rsidR="003B6E66" w:rsidRDefault="003B6E66" w:rsidP="003B6E66">
      <w:pPr>
        <w:pStyle w:val="a3"/>
        <w:ind w:left="426"/>
        <w:jc w:val="both"/>
        <w:rPr>
          <w:rFonts w:ascii="Calibri" w:hAnsi="Calibri"/>
        </w:rPr>
      </w:pPr>
      <w:r w:rsidRPr="003B6E66">
        <w:rPr>
          <w:rFonts w:ascii="Calibri" w:hAnsi="Calibri"/>
        </w:rPr>
        <w:t xml:space="preserve">Ανάλογα με την περιεκτικότητα και την σύνθεση των αζωτούχων ουσιών στα λύματα αλλά και την μέθοδο επεξεργασίας, η μείωση του αζώτου κατά τον συνήθη βιολογικό καθαρισμό φτάνει μέχρι το 40%.  Κατά την τριτοβάθμια επεξεργασία, που περιλαμβάνει νιτροποίηση και </w:t>
      </w:r>
      <w:proofErr w:type="spellStart"/>
      <w:r w:rsidRPr="003B6E66">
        <w:rPr>
          <w:rFonts w:ascii="Calibri" w:hAnsi="Calibri"/>
        </w:rPr>
        <w:t>απονιτροποίηση</w:t>
      </w:r>
      <w:proofErr w:type="spellEnd"/>
      <w:r w:rsidRPr="003B6E66">
        <w:rPr>
          <w:rFonts w:ascii="Calibri" w:hAnsi="Calibri"/>
        </w:rPr>
        <w:t>, η μείωση του άζωτου φτάνει το 60-70%.</w:t>
      </w:r>
    </w:p>
    <w:p w:rsidR="00C0670B" w:rsidRDefault="00C0670B" w:rsidP="003B6E66">
      <w:pPr>
        <w:pStyle w:val="a3"/>
        <w:ind w:left="426"/>
        <w:jc w:val="both"/>
        <w:rPr>
          <w:rFonts w:ascii="Calibri" w:hAnsi="Calibri"/>
        </w:rPr>
      </w:pPr>
    </w:p>
    <w:p w:rsidR="00C0670B" w:rsidRDefault="00C0670B" w:rsidP="00C0670B">
      <w:pPr>
        <w:rPr>
          <w:b/>
        </w:rPr>
      </w:pPr>
      <w:r>
        <w:rPr>
          <w:b/>
          <w:noProof/>
          <w:lang w:eastAsia="el-GR"/>
        </w:rPr>
        <w:lastRenderedPageBreak/>
        <mc:AlternateContent>
          <mc:Choice Requires="wps">
            <w:drawing>
              <wp:anchor distT="0" distB="0" distL="114300" distR="114300" simplePos="0" relativeHeight="251661312" behindDoc="0" locked="0" layoutInCell="1" allowOverlap="1">
                <wp:simplePos x="0" y="0"/>
                <wp:positionH relativeFrom="column">
                  <wp:posOffset>-252730</wp:posOffset>
                </wp:positionH>
                <wp:positionV relativeFrom="paragraph">
                  <wp:posOffset>50165</wp:posOffset>
                </wp:positionV>
                <wp:extent cx="143510" cy="95250"/>
                <wp:effectExtent l="13970" t="21590" r="13970" b="26035"/>
                <wp:wrapNone/>
                <wp:docPr id="3" name="Δεξί βέλος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95250"/>
                        </a:xfrm>
                        <a:prstGeom prst="rightArrow">
                          <a:avLst>
                            <a:gd name="adj1" fmla="val 50000"/>
                            <a:gd name="adj2" fmla="val 37667"/>
                          </a:avLst>
                        </a:prstGeom>
                        <a:solidFill>
                          <a:srgbClr val="4F81B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16541" id="Δεξί βέλος 3" o:spid="_x0000_s1026" type="#_x0000_t13" style="position:absolute;margin-left:-19.9pt;margin-top:3.95pt;width:11.3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" fillcolor="#4f81bd"/>
            </w:pict>
          </mc:Fallback>
        </mc:AlternateContent>
      </w:r>
      <w:r w:rsidRPr="00254A0E">
        <w:rPr>
          <w:b/>
        </w:rPr>
        <w:t>ΜΕΤΡΗ</w:t>
      </w:r>
      <w:r>
        <w:rPr>
          <w:b/>
        </w:rPr>
        <w:t xml:space="preserve">ΣΗ ΑΖΩΤΟΥ </w:t>
      </w:r>
    </w:p>
    <w:p w:rsidR="00C0670B" w:rsidRDefault="00C0670B" w:rsidP="00C0670B">
      <w:pPr>
        <w:spacing w:line="360" w:lineRule="auto"/>
        <w:rPr>
          <w:u w:val="single"/>
        </w:rPr>
      </w:pPr>
      <w:r w:rsidRPr="009F604B">
        <w:rPr>
          <w:u w:val="single"/>
        </w:rPr>
        <w:t xml:space="preserve">ΕΞΟΠΛΙΣΜΟΣ </w:t>
      </w:r>
    </w:p>
    <w:p w:rsidR="00C0670B" w:rsidRDefault="00C0670B" w:rsidP="00955E96">
      <w:pPr>
        <w:pStyle w:val="a3"/>
        <w:numPr>
          <w:ilvl w:val="0"/>
          <w:numId w:val="5"/>
        </w:numPr>
        <w:spacing w:line="360" w:lineRule="auto"/>
      </w:pPr>
      <w:r>
        <w:t>Σιφώνια</w:t>
      </w:r>
    </w:p>
    <w:p w:rsidR="00C0670B" w:rsidRDefault="00C0670B" w:rsidP="00955E96">
      <w:pPr>
        <w:pStyle w:val="a3"/>
        <w:numPr>
          <w:ilvl w:val="0"/>
          <w:numId w:val="5"/>
        </w:numPr>
        <w:spacing w:line="360" w:lineRule="auto"/>
      </w:pPr>
      <w:r>
        <w:t>Κυψέλες μέτρησης</w:t>
      </w:r>
    </w:p>
    <w:p w:rsidR="00C0670B" w:rsidRDefault="00C0670B" w:rsidP="00955E96">
      <w:pPr>
        <w:pStyle w:val="a3"/>
        <w:numPr>
          <w:ilvl w:val="0"/>
          <w:numId w:val="5"/>
        </w:numPr>
        <w:spacing w:line="360" w:lineRule="auto"/>
      </w:pPr>
      <w:r>
        <w:t xml:space="preserve">Αντιδραστήρια μέτρησης   </w:t>
      </w:r>
    </w:p>
    <w:p w:rsidR="00C0670B" w:rsidRPr="00C0670B" w:rsidRDefault="00C0670B" w:rsidP="00955E96">
      <w:pPr>
        <w:pStyle w:val="a3"/>
        <w:numPr>
          <w:ilvl w:val="0"/>
          <w:numId w:val="5"/>
        </w:numPr>
        <w:spacing w:line="360" w:lineRule="auto"/>
      </w:pPr>
      <w:r>
        <w:t>Συσκευή χώνευσης</w:t>
      </w:r>
      <w:r w:rsidRPr="00C0670B">
        <w:t xml:space="preserve"> (</w:t>
      </w:r>
      <w:r>
        <w:t>Φούρνος)</w:t>
      </w:r>
    </w:p>
    <w:p w:rsidR="00C0670B" w:rsidRDefault="00C0670B" w:rsidP="00955E96">
      <w:pPr>
        <w:pStyle w:val="a3"/>
        <w:numPr>
          <w:ilvl w:val="0"/>
          <w:numId w:val="5"/>
        </w:numPr>
        <w:jc w:val="both"/>
      </w:pPr>
      <w:proofErr w:type="spellStart"/>
      <w:r>
        <w:t>Φασματοφωτόμετρο</w:t>
      </w:r>
      <w:proofErr w:type="spellEnd"/>
    </w:p>
    <w:p w:rsidR="00955E96" w:rsidRPr="00C0670B" w:rsidRDefault="00955E96" w:rsidP="00C0670B">
      <w:pPr>
        <w:jc w:val="both"/>
      </w:pPr>
    </w:p>
    <w:p w:rsidR="00C0670B" w:rsidRPr="0029037A" w:rsidRDefault="00C0670B" w:rsidP="00C0670B">
      <w:pPr>
        <w:spacing w:line="360" w:lineRule="auto"/>
        <w:rPr>
          <w:u w:val="single"/>
        </w:rPr>
      </w:pPr>
      <w:r w:rsidRPr="0029037A">
        <w:rPr>
          <w:u w:val="single"/>
        </w:rPr>
        <w:t>ΔΙΑΔΙΚΑΣΙΑ</w:t>
      </w:r>
    </w:p>
    <w:p w:rsidR="00C0670B" w:rsidRPr="006F3F60" w:rsidRDefault="00C0670B" w:rsidP="00C0670B">
      <w:pPr>
        <w:spacing w:line="360" w:lineRule="auto"/>
        <w:rPr>
          <w:b/>
          <w:u w:val="single"/>
        </w:rPr>
      </w:pPr>
      <w:r w:rsidRPr="006F3F60">
        <w:rPr>
          <w:b/>
          <w:u w:val="single"/>
        </w:rPr>
        <w:t>Μέτρηση ολικού αζώτου</w:t>
      </w:r>
    </w:p>
    <w:p w:rsidR="00C0670B" w:rsidRDefault="00C0670B" w:rsidP="00955E96">
      <w:pPr>
        <w:numPr>
          <w:ilvl w:val="1"/>
          <w:numId w:val="3"/>
        </w:numPr>
        <w:spacing w:after="0" w:line="360" w:lineRule="auto"/>
      </w:pPr>
      <w:r>
        <w:t xml:space="preserve">ΠΕΡΙΟΧΗ ΤΙΜΏΝ ΜΕΤΡΗΣΗΣ : </w:t>
      </w:r>
      <w:r>
        <w:t>20-100</w:t>
      </w:r>
      <w:r>
        <w:t xml:space="preserve"> </w:t>
      </w:r>
      <w:r>
        <w:rPr>
          <w:lang w:val="en-GB"/>
        </w:rPr>
        <w:t>ppm</w:t>
      </w:r>
      <w:r>
        <w:t xml:space="preserve"> (</w:t>
      </w:r>
      <w:r>
        <w:rPr>
          <w:lang w:val="en-GB"/>
        </w:rPr>
        <w:t>mg</w:t>
      </w:r>
      <w:r w:rsidRPr="004913AC">
        <w:t>/</w:t>
      </w:r>
      <w:r>
        <w:rPr>
          <w:lang w:val="en-GB"/>
        </w:rPr>
        <w:t>l</w:t>
      </w:r>
      <w:r w:rsidRPr="004913AC">
        <w:t xml:space="preserve"> </w:t>
      </w:r>
      <w:r>
        <w:t>Ν)</w:t>
      </w:r>
      <w:r w:rsidR="00955E96" w:rsidRPr="00955E96">
        <w:t>(</w:t>
      </w:r>
      <w:r w:rsidR="00955E96">
        <w:t>για την είσοδο)</w:t>
      </w:r>
      <w:r w:rsidRPr="004913AC">
        <w:t xml:space="preserve"> </w:t>
      </w:r>
      <w:r>
        <w:t xml:space="preserve">και 5-40 </w:t>
      </w:r>
      <w:r>
        <w:rPr>
          <w:lang w:val="en-GB"/>
        </w:rPr>
        <w:t>ppm</w:t>
      </w:r>
      <w:r>
        <w:t xml:space="preserve"> (</w:t>
      </w:r>
      <w:r>
        <w:rPr>
          <w:lang w:val="en-GB"/>
        </w:rPr>
        <w:t>mg</w:t>
      </w:r>
      <w:r w:rsidRPr="004913AC">
        <w:t>/</w:t>
      </w:r>
      <w:r>
        <w:rPr>
          <w:lang w:val="en-GB"/>
        </w:rPr>
        <w:t>l</w:t>
      </w:r>
      <w:r w:rsidRPr="004913AC">
        <w:t xml:space="preserve"> </w:t>
      </w:r>
      <w:r>
        <w:t>Ν)</w:t>
      </w:r>
      <w:r w:rsidR="00955E96">
        <w:t>(για την έξοδο)</w:t>
      </w:r>
    </w:p>
    <w:p w:rsidR="00C0670B" w:rsidRPr="006F3F60" w:rsidRDefault="00C0670B" w:rsidP="00C0670B">
      <w:pPr>
        <w:spacing w:line="360" w:lineRule="auto"/>
        <w:jc w:val="both"/>
        <w:rPr>
          <w:u w:val="single"/>
        </w:rPr>
      </w:pPr>
      <w:r w:rsidRPr="006F3F60">
        <w:rPr>
          <w:u w:val="single"/>
        </w:rPr>
        <w:t>Προετοιμασία δείγματος: χώνευση για τον προσδιορισμό του ολικού φωσφόρου</w:t>
      </w:r>
    </w:p>
    <w:p w:rsidR="00C0670B" w:rsidRPr="00334ED4" w:rsidRDefault="00C0670B" w:rsidP="00C0670B">
      <w:pPr>
        <w:numPr>
          <w:ilvl w:val="0"/>
          <w:numId w:val="3"/>
        </w:numPr>
        <w:spacing w:after="0" w:line="360" w:lineRule="auto"/>
      </w:pPr>
      <w:r w:rsidRPr="00334ED4">
        <w:t xml:space="preserve">Προσθέτουμε σε μια </w:t>
      </w:r>
      <w:proofErr w:type="spellStart"/>
      <w:r w:rsidRPr="00334ED4">
        <w:t>αδεια</w:t>
      </w:r>
      <w:proofErr w:type="spellEnd"/>
      <w:r w:rsidRPr="00334ED4">
        <w:t xml:space="preserve"> κυψέλη </w:t>
      </w:r>
      <w:r w:rsidR="00955E96">
        <w:t xml:space="preserve">0,5 </w:t>
      </w:r>
      <w:proofErr w:type="spellStart"/>
      <w:r w:rsidRPr="00334ED4">
        <w:t>ml</w:t>
      </w:r>
      <w:proofErr w:type="spellEnd"/>
      <w:r w:rsidRPr="00864636">
        <w:t xml:space="preserve"> </w:t>
      </w:r>
      <w:r w:rsidRPr="00334ED4">
        <w:t xml:space="preserve">δείγματος </w:t>
      </w:r>
    </w:p>
    <w:p w:rsidR="00C0670B" w:rsidRPr="00334ED4" w:rsidRDefault="00C0670B" w:rsidP="00C0670B">
      <w:pPr>
        <w:numPr>
          <w:ilvl w:val="0"/>
          <w:numId w:val="3"/>
        </w:numPr>
        <w:spacing w:after="0" w:line="360" w:lineRule="auto"/>
      </w:pPr>
      <w:r w:rsidRPr="00334ED4">
        <w:t xml:space="preserve">Προσθέτουμε </w:t>
      </w:r>
      <w:r w:rsidR="00955E96">
        <w:t xml:space="preserve">2 </w:t>
      </w:r>
      <w:r w:rsidR="00955E96">
        <w:rPr>
          <w:lang w:val="en-US"/>
        </w:rPr>
        <w:t>ml</w:t>
      </w:r>
      <w:r w:rsidRPr="00334ED4">
        <w:t xml:space="preserve"> αντιδραστήριο </w:t>
      </w:r>
      <w:r w:rsidR="00955E96">
        <w:rPr>
          <w:lang w:val="en-US"/>
        </w:rPr>
        <w:t>A</w:t>
      </w:r>
    </w:p>
    <w:p w:rsidR="00C0670B" w:rsidRDefault="00C0670B" w:rsidP="00C0670B">
      <w:pPr>
        <w:numPr>
          <w:ilvl w:val="0"/>
          <w:numId w:val="3"/>
        </w:numPr>
        <w:spacing w:after="0" w:line="360" w:lineRule="auto"/>
      </w:pPr>
      <w:r w:rsidRPr="00334ED4">
        <w:t>Προσθ</w:t>
      </w:r>
      <w:r>
        <w:t xml:space="preserve">έτουμε στην κυψέλη </w:t>
      </w:r>
      <w:r w:rsidR="00955E96" w:rsidRPr="00955E96">
        <w:t xml:space="preserve">1 </w:t>
      </w:r>
      <w:r w:rsidR="00955E96">
        <w:t>παστίλια</w:t>
      </w:r>
      <w:r>
        <w:t xml:space="preserve"> αντιδραστήριο </w:t>
      </w:r>
      <w:r w:rsidR="00955E96">
        <w:t>Β</w:t>
      </w:r>
    </w:p>
    <w:p w:rsidR="00C0670B" w:rsidRDefault="00C0670B" w:rsidP="00C0670B">
      <w:pPr>
        <w:numPr>
          <w:ilvl w:val="0"/>
          <w:numId w:val="3"/>
        </w:numPr>
        <w:spacing w:after="0" w:line="360" w:lineRule="auto"/>
      </w:pPr>
      <w:r w:rsidRPr="00864636">
        <w:t xml:space="preserve">Θερμαίνουμε την κυψέλη στους 120 </w:t>
      </w:r>
      <w:proofErr w:type="spellStart"/>
      <w:r w:rsidRPr="00864636">
        <w:rPr>
          <w:vertAlign w:val="superscript"/>
        </w:rPr>
        <w:t>ο</w:t>
      </w:r>
      <w:r w:rsidRPr="00185654">
        <w:t>C</w:t>
      </w:r>
      <w:proofErr w:type="spellEnd"/>
      <w:r w:rsidRPr="00864636">
        <w:rPr>
          <w:vertAlign w:val="superscript"/>
        </w:rPr>
        <w:t xml:space="preserve"> </w:t>
      </w:r>
      <w:r w:rsidRPr="00864636">
        <w:t xml:space="preserve">για </w:t>
      </w:r>
      <w:r w:rsidR="00955E96">
        <w:t>30</w:t>
      </w:r>
      <w:r w:rsidRPr="00864636">
        <w:t xml:space="preserve"> λεπτά</w:t>
      </w:r>
    </w:p>
    <w:p w:rsidR="00C0670B" w:rsidRDefault="00C0670B" w:rsidP="00C0670B">
      <w:pPr>
        <w:numPr>
          <w:ilvl w:val="0"/>
          <w:numId w:val="3"/>
        </w:numPr>
        <w:spacing w:after="0" w:line="360" w:lineRule="auto"/>
      </w:pPr>
      <w:r w:rsidRPr="00864636">
        <w:t>Αφήνουμε να κρυώσει σε θερμοκρασία περιβάλλοντος</w:t>
      </w:r>
    </w:p>
    <w:p w:rsidR="00C0670B" w:rsidRPr="006F3F60" w:rsidRDefault="00C0670B" w:rsidP="00C0670B">
      <w:pPr>
        <w:spacing w:line="360" w:lineRule="auto"/>
        <w:rPr>
          <w:u w:val="single"/>
        </w:rPr>
      </w:pPr>
      <w:r w:rsidRPr="006F3F60">
        <w:rPr>
          <w:u w:val="single"/>
        </w:rPr>
        <w:t xml:space="preserve">Διαδικασία </w:t>
      </w:r>
      <w:proofErr w:type="spellStart"/>
      <w:r w:rsidRPr="006F3F60">
        <w:rPr>
          <w:u w:val="single"/>
        </w:rPr>
        <w:t>μετρησης</w:t>
      </w:r>
      <w:proofErr w:type="spellEnd"/>
    </w:p>
    <w:p w:rsidR="00955E96" w:rsidRDefault="00955E96" w:rsidP="00C0670B">
      <w:pPr>
        <w:numPr>
          <w:ilvl w:val="0"/>
          <w:numId w:val="3"/>
        </w:numPr>
        <w:spacing w:after="0" w:line="360" w:lineRule="auto"/>
      </w:pPr>
      <w:r>
        <w:t>Αφού κρυώσει ανακατεύουμε την κυψέλη</w:t>
      </w:r>
    </w:p>
    <w:p w:rsidR="00C0670B" w:rsidRPr="00334ED4" w:rsidRDefault="00C0670B" w:rsidP="00C0670B">
      <w:pPr>
        <w:numPr>
          <w:ilvl w:val="0"/>
          <w:numId w:val="3"/>
        </w:numPr>
        <w:spacing w:after="0" w:line="360" w:lineRule="auto"/>
      </w:pPr>
      <w:r w:rsidRPr="00334ED4">
        <w:t>Σε μια κυψέλη ειδική για την μέτρηση του αζώτου</w:t>
      </w:r>
      <w:r w:rsidR="00955E96">
        <w:t xml:space="preserve"> (φιαλίδιο) προσθέτουμε 0,5</w:t>
      </w:r>
      <w:r w:rsidRPr="00334ED4">
        <w:t>ml</w:t>
      </w:r>
      <w:r w:rsidRPr="00864636">
        <w:t xml:space="preserve"> </w:t>
      </w:r>
      <w:r w:rsidRPr="00334ED4">
        <w:t xml:space="preserve">από το </w:t>
      </w:r>
      <w:proofErr w:type="spellStart"/>
      <w:r w:rsidRPr="00334ED4">
        <w:t>χωνευμένο</w:t>
      </w:r>
      <w:proofErr w:type="spellEnd"/>
      <w:r w:rsidRPr="00334ED4">
        <w:t xml:space="preserve"> δείγμα</w:t>
      </w:r>
    </w:p>
    <w:p w:rsidR="00C0670B" w:rsidRPr="00334ED4" w:rsidRDefault="00C0670B" w:rsidP="00C0670B">
      <w:pPr>
        <w:numPr>
          <w:ilvl w:val="0"/>
          <w:numId w:val="3"/>
        </w:numPr>
        <w:spacing w:after="0" w:line="360" w:lineRule="auto"/>
      </w:pPr>
      <w:r w:rsidRPr="00334ED4">
        <w:t xml:space="preserve">Προσθέτουμε </w:t>
      </w:r>
      <w:r w:rsidR="00955E96">
        <w:t>0,2</w:t>
      </w:r>
      <w:r>
        <w:t>ml</w:t>
      </w:r>
      <w:r w:rsidRPr="00864636">
        <w:t xml:space="preserve"> </w:t>
      </w:r>
      <w:r>
        <w:t xml:space="preserve">από το </w:t>
      </w:r>
      <w:r w:rsidRPr="00334ED4">
        <w:t>αντιδραστ</w:t>
      </w:r>
      <w:r>
        <w:t xml:space="preserve">ήριο </w:t>
      </w:r>
      <w:r w:rsidR="00955E96">
        <w:rPr>
          <w:lang w:val="en-US"/>
        </w:rPr>
        <w:t>D</w:t>
      </w:r>
    </w:p>
    <w:p w:rsidR="00C0670B" w:rsidRDefault="00C0670B" w:rsidP="00C0670B">
      <w:pPr>
        <w:numPr>
          <w:ilvl w:val="0"/>
          <w:numId w:val="3"/>
        </w:numPr>
        <w:spacing w:after="0" w:line="360" w:lineRule="auto"/>
      </w:pPr>
      <w:r w:rsidRPr="00334ED4">
        <w:t>Κλείνουμε και ανακατεύουμε την κυψέλη</w:t>
      </w:r>
    </w:p>
    <w:p w:rsidR="00C0670B" w:rsidRDefault="00C0670B" w:rsidP="00C0670B">
      <w:r w:rsidRPr="00864636">
        <w:t>Αφήνουμε 1</w:t>
      </w:r>
      <w:r w:rsidR="00955E96" w:rsidRPr="00955E96">
        <w:t>5</w:t>
      </w:r>
      <w:r w:rsidRPr="00864636">
        <w:t xml:space="preserve"> λεπτά να αντιδράσει και μετράμε στο φωτόμετρο</w:t>
      </w:r>
    </w:p>
    <w:p w:rsidR="00D15DC0" w:rsidRDefault="00D15DC0" w:rsidP="00D15DC0">
      <w:pPr>
        <w:pStyle w:val="a3"/>
        <w:numPr>
          <w:ilvl w:val="0"/>
          <w:numId w:val="1"/>
        </w:numPr>
        <w:tabs>
          <w:tab w:val="left" w:pos="2610"/>
        </w:tabs>
        <w:rPr>
          <w:b/>
          <w:color w:val="2F5496" w:themeColor="accent5" w:themeShade="BF"/>
          <w:u w:val="single"/>
        </w:rPr>
      </w:pPr>
      <w:r w:rsidRPr="00D15DC0">
        <w:rPr>
          <w:b/>
          <w:color w:val="2F5496" w:themeColor="accent5" w:themeShade="BF"/>
          <w:u w:val="single"/>
        </w:rPr>
        <w:t>Ολικά στερεά (</w:t>
      </w:r>
      <w:r w:rsidRPr="00D15DC0">
        <w:rPr>
          <w:b/>
          <w:color w:val="2F5496" w:themeColor="accent5" w:themeShade="BF"/>
          <w:u w:val="single"/>
          <w:lang w:val="en-GB"/>
        </w:rPr>
        <w:t>Total</w:t>
      </w:r>
      <w:r w:rsidRPr="00D15DC0">
        <w:rPr>
          <w:b/>
          <w:color w:val="2F5496" w:themeColor="accent5" w:themeShade="BF"/>
          <w:u w:val="single"/>
        </w:rPr>
        <w:t xml:space="preserve"> </w:t>
      </w:r>
      <w:r w:rsidRPr="00D15DC0">
        <w:rPr>
          <w:b/>
          <w:color w:val="2F5496" w:themeColor="accent5" w:themeShade="BF"/>
          <w:u w:val="single"/>
          <w:lang w:val="en-GB"/>
        </w:rPr>
        <w:t>solids</w:t>
      </w:r>
      <w:r w:rsidRPr="00D15DC0">
        <w:rPr>
          <w:b/>
          <w:color w:val="2F5496" w:themeColor="accent5" w:themeShade="BF"/>
          <w:u w:val="single"/>
        </w:rPr>
        <w:t>)</w:t>
      </w:r>
    </w:p>
    <w:p w:rsidR="008125BD" w:rsidRDefault="008125BD" w:rsidP="008125BD">
      <w:pPr>
        <w:pStyle w:val="a3"/>
        <w:tabs>
          <w:tab w:val="left" w:pos="2610"/>
        </w:tabs>
        <w:ind w:left="360"/>
        <w:rPr>
          <w:b/>
          <w:color w:val="2F5496" w:themeColor="accent5" w:themeShade="BF"/>
          <w:u w:val="single"/>
        </w:rPr>
      </w:pPr>
    </w:p>
    <w:p w:rsidR="008125BD" w:rsidRPr="00133CD7" w:rsidRDefault="008125BD" w:rsidP="008125BD">
      <w:pPr>
        <w:tabs>
          <w:tab w:val="left" w:pos="2610"/>
        </w:tabs>
        <w:rPr>
          <w:b/>
        </w:rPr>
      </w:pPr>
      <w:r w:rsidRPr="00133CD7">
        <w:rPr>
          <w:b/>
          <w:noProof/>
          <w:color w:val="0000FF"/>
          <w:sz w:val="28"/>
          <w:szCs w:val="28"/>
          <w:lang w:eastAsia="el-GR"/>
        </w:rPr>
        <mc:AlternateContent>
          <mc:Choice Requires="wps">
            <w:drawing>
              <wp:anchor distT="0" distB="0" distL="114300" distR="114300" simplePos="0" relativeHeight="251663360" behindDoc="0" locked="0" layoutInCell="1" allowOverlap="1">
                <wp:simplePos x="0" y="0"/>
                <wp:positionH relativeFrom="column">
                  <wp:posOffset>-143510</wp:posOffset>
                </wp:positionH>
                <wp:positionV relativeFrom="paragraph">
                  <wp:posOffset>28575</wp:posOffset>
                </wp:positionV>
                <wp:extent cx="143510" cy="95250"/>
                <wp:effectExtent l="8890" t="19050" r="19050" b="19050"/>
                <wp:wrapNone/>
                <wp:docPr id="4" name="Δεξί βέλος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95250"/>
                        </a:xfrm>
                        <a:prstGeom prst="rightArrow">
                          <a:avLst>
                            <a:gd name="adj1" fmla="val 50000"/>
                            <a:gd name="adj2" fmla="val 37667"/>
                          </a:avLst>
                        </a:prstGeom>
                        <a:solidFill>
                          <a:srgbClr val="4F81B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DDE94" id="Δεξί βέλος 4" o:spid="_x0000_s1026" type="#_x0000_t13" style="position:absolute;margin-left:-11.3pt;margin-top:2.25pt;width:11.3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" fillcolor="#4f81bd"/>
            </w:pict>
          </mc:Fallback>
        </mc:AlternateContent>
      </w:r>
      <w:r>
        <w:rPr>
          <w:b/>
          <w:color w:val="0000FF"/>
          <w:sz w:val="28"/>
          <w:szCs w:val="28"/>
        </w:rPr>
        <w:t xml:space="preserve"> </w:t>
      </w:r>
      <w:r w:rsidRPr="00133CD7">
        <w:rPr>
          <w:b/>
        </w:rPr>
        <w:t>ΜΕΤΡΗΣΗ ΣΤΕΡΕΩΝ ΟΥΣΙΩΝ</w:t>
      </w:r>
    </w:p>
    <w:p w:rsidR="008125BD" w:rsidRPr="00B17A04" w:rsidRDefault="008125BD" w:rsidP="008125BD">
      <w:pPr>
        <w:tabs>
          <w:tab w:val="left" w:pos="2610"/>
        </w:tabs>
        <w:rPr>
          <w:b/>
          <w:u w:val="single"/>
        </w:rPr>
      </w:pPr>
    </w:p>
    <w:p w:rsidR="008125BD" w:rsidRPr="00B17A04" w:rsidRDefault="008125BD" w:rsidP="008125BD">
      <w:pPr>
        <w:tabs>
          <w:tab w:val="left" w:pos="2610"/>
        </w:tabs>
        <w:rPr>
          <w:b/>
          <w:color w:val="0000FF"/>
          <w:u w:val="single"/>
        </w:rPr>
      </w:pPr>
      <w:r w:rsidRPr="00B17A04">
        <w:rPr>
          <w:b/>
          <w:color w:val="0000FF"/>
          <w:u w:val="single"/>
        </w:rPr>
        <w:t>Ολικά στερεά (</w:t>
      </w:r>
      <w:r w:rsidRPr="00AD7ED4">
        <w:rPr>
          <w:b/>
          <w:color w:val="0000FF"/>
          <w:u w:val="single"/>
          <w:lang w:val="en-GB"/>
        </w:rPr>
        <w:t>Total</w:t>
      </w:r>
      <w:r w:rsidRPr="00B17A04">
        <w:rPr>
          <w:b/>
          <w:color w:val="0000FF"/>
          <w:u w:val="single"/>
        </w:rPr>
        <w:t xml:space="preserve"> </w:t>
      </w:r>
      <w:r w:rsidRPr="00AD7ED4">
        <w:rPr>
          <w:b/>
          <w:color w:val="0000FF"/>
          <w:u w:val="single"/>
          <w:lang w:val="en-GB"/>
        </w:rPr>
        <w:t>solids</w:t>
      </w:r>
      <w:r w:rsidRPr="00B17A04">
        <w:rPr>
          <w:b/>
          <w:color w:val="0000FF"/>
          <w:u w:val="single"/>
        </w:rPr>
        <w:t>)</w:t>
      </w:r>
    </w:p>
    <w:p w:rsidR="008125BD" w:rsidRPr="00B17A04" w:rsidRDefault="008125BD" w:rsidP="008125BD">
      <w:pPr>
        <w:tabs>
          <w:tab w:val="left" w:pos="2610"/>
        </w:tabs>
      </w:pPr>
      <w:r w:rsidRPr="00B17A04">
        <w:t xml:space="preserve">Η παράμετρος αυτή αναφέρεται στο σύνολο των στερεών ουσιών που υπάρχουν σε ένα δείγμα νερού.  </w:t>
      </w:r>
    </w:p>
    <w:p w:rsidR="008125BD" w:rsidRPr="00B17A04" w:rsidRDefault="008125BD" w:rsidP="008125BD">
      <w:pPr>
        <w:tabs>
          <w:tab w:val="left" w:pos="2610"/>
        </w:tabs>
        <w:rPr>
          <w:b/>
        </w:rPr>
      </w:pPr>
      <w:r w:rsidRPr="00B17A04">
        <w:rPr>
          <w:b/>
        </w:rPr>
        <w:t xml:space="preserve">Διαδικασία </w:t>
      </w:r>
    </w:p>
    <w:p w:rsidR="008125BD" w:rsidRPr="00B17A04" w:rsidRDefault="008125BD" w:rsidP="008125BD">
      <w:pPr>
        <w:tabs>
          <w:tab w:val="left" w:pos="2610"/>
        </w:tabs>
      </w:pPr>
      <w:r w:rsidRPr="00B17A04">
        <w:lastRenderedPageBreak/>
        <w:t>¨Έπειτα απ</w:t>
      </w:r>
      <w:r w:rsidR="009234C1">
        <w:t>ό καλή ανάμειξη του δείγματος, 1</w:t>
      </w:r>
      <w:bookmarkStart w:id="0" w:name="_GoBack"/>
      <w:bookmarkEnd w:id="0"/>
      <w:r w:rsidRPr="00B17A04">
        <w:t xml:space="preserve">0 </w:t>
      </w:r>
      <w:r>
        <w:rPr>
          <w:lang w:val="en-GB"/>
        </w:rPr>
        <w:t>ml</w:t>
      </w:r>
      <w:r w:rsidRPr="00B17A04">
        <w:t xml:space="preserve"> από το δείγμα μεταφέρονται σε μία </w:t>
      </w:r>
      <w:proofErr w:type="spellStart"/>
      <w:r w:rsidRPr="00B17A04">
        <w:t>προζυγιασμένη</w:t>
      </w:r>
      <w:proofErr w:type="spellEnd"/>
      <w:r w:rsidRPr="00B17A04">
        <w:t xml:space="preserve"> κάψα πορσελάνης, η οποία έχει πυρωθεί για 1 ώρα στους 550 </w:t>
      </w:r>
      <w:r>
        <w:rPr>
          <w:lang w:val="en-GB"/>
        </w:rPr>
        <w:t>C</w:t>
      </w:r>
      <w:r w:rsidRPr="00B17A04">
        <w:t xml:space="preserve"> πριν τη χρήση.  Το δείγμα εξατμίζεται σε θερμοκρασία 103-105 </w:t>
      </w:r>
      <w:r>
        <w:rPr>
          <w:lang w:val="en-GB"/>
        </w:rPr>
        <w:t>C</w:t>
      </w:r>
      <w:r w:rsidRPr="00B17A04">
        <w:t xml:space="preserve"> στο </w:t>
      </w:r>
      <w:proofErr w:type="spellStart"/>
      <w:r w:rsidRPr="00B17A04">
        <w:t>πυριαντήριο</w:t>
      </w:r>
      <w:proofErr w:type="spellEnd"/>
      <w:r w:rsidRPr="00B17A04">
        <w:t xml:space="preserve"> για περίπου 24 ώρες.  Το δείγμα αφήνεται να κρυώσει (για περίπου 30 </w:t>
      </w:r>
      <w:r>
        <w:rPr>
          <w:lang w:val="en-GB"/>
        </w:rPr>
        <w:t>sec</w:t>
      </w:r>
      <w:r w:rsidRPr="00B17A04">
        <w:t>) σε θερμοκρασία δωματίου.  Το δείγμα ζυγίζεται σε ηλεκτρονικό αναλυτικό ζυγό ακριβείας (0,1</w:t>
      </w:r>
      <w:r>
        <w:rPr>
          <w:lang w:val="en-GB"/>
        </w:rPr>
        <w:t>mg</w:t>
      </w:r>
      <w:r w:rsidRPr="00B17A04">
        <w:t xml:space="preserve"> ή 0,0000</w:t>
      </w:r>
      <w:r>
        <w:rPr>
          <w:lang w:val="en-GB"/>
        </w:rPr>
        <w:t>g</w:t>
      </w:r>
      <w:r w:rsidRPr="00B17A04">
        <w:t xml:space="preserve">).  Το δείγμα </w:t>
      </w:r>
      <w:proofErr w:type="spellStart"/>
      <w:r w:rsidRPr="00B17A04">
        <w:t>ενατοποθετείται</w:t>
      </w:r>
      <w:proofErr w:type="spellEnd"/>
      <w:r w:rsidRPr="00B17A04">
        <w:t xml:space="preserve"> στο </w:t>
      </w:r>
      <w:proofErr w:type="spellStart"/>
      <w:r w:rsidRPr="00B17A04">
        <w:t>πυριαντήριο</w:t>
      </w:r>
      <w:proofErr w:type="spellEnd"/>
      <w:r w:rsidRPr="00B17A04">
        <w:t xml:space="preserve"> για 1 ακόμα ώρα - αν το βάρος είναι σταθερό κατά τις δυο μετρήσεις η διαδικασία της ξήρανσης έχει τελειώσει.  Η διαφορά βάρους του δίσκου μετά την ξήρανση αντιστοιχεί στο σύνολο των στερεών ουσιών.  Τα αποτελέσματα εκφράζονται σε </w:t>
      </w:r>
      <w:r>
        <w:rPr>
          <w:lang w:val="en-GB"/>
        </w:rPr>
        <w:t>mg</w:t>
      </w:r>
      <w:r w:rsidRPr="00B17A04">
        <w:t>/</w:t>
      </w:r>
      <w:r>
        <w:rPr>
          <w:lang w:val="en-GB"/>
        </w:rPr>
        <w:t>L</w:t>
      </w:r>
      <w:r w:rsidRPr="00B17A04">
        <w:t xml:space="preserve"> δείγματος.  </w:t>
      </w:r>
    </w:p>
    <w:p w:rsidR="008125BD" w:rsidRPr="00B17A04" w:rsidRDefault="008125BD" w:rsidP="008125BD">
      <w:pPr>
        <w:tabs>
          <w:tab w:val="left" w:pos="2610"/>
        </w:tabs>
      </w:pPr>
    </w:p>
    <w:p w:rsidR="008125BD" w:rsidRPr="00B17A04" w:rsidRDefault="008125BD" w:rsidP="008125BD">
      <w:pPr>
        <w:tabs>
          <w:tab w:val="left" w:pos="2610"/>
        </w:tabs>
        <w:rPr>
          <w:b/>
        </w:rPr>
      </w:pPr>
      <w:r w:rsidRPr="00B17A04">
        <w:rPr>
          <w:b/>
        </w:rPr>
        <w:t>Υπολογισμοί :</w:t>
      </w:r>
    </w:p>
    <w:p w:rsidR="009234C1" w:rsidRPr="00E64E7B" w:rsidRDefault="009234C1" w:rsidP="009234C1">
      <w:proofErr w:type="gramStart"/>
      <w:r>
        <w:rPr>
          <w:lang w:val="en-US"/>
        </w:rPr>
        <w:t>TS</w:t>
      </w:r>
      <w:r w:rsidRPr="00E64E7B">
        <w:t>(</w:t>
      </w:r>
      <w:proofErr w:type="gramEnd"/>
      <w:r>
        <w:rPr>
          <w:lang w:val="en-US"/>
        </w:rPr>
        <w:t>mg</w:t>
      </w:r>
      <w:r w:rsidRPr="00E64E7B">
        <w:t>/</w:t>
      </w:r>
      <w:r>
        <w:rPr>
          <w:lang w:val="en-US"/>
        </w:rPr>
        <w:t>L</w:t>
      </w:r>
      <w:r w:rsidRPr="00E64E7B">
        <w:t xml:space="preserve">)= </w:t>
      </w:r>
      <w:r w:rsidRPr="00E64E7B">
        <w:rPr>
          <w:position w:val="-24"/>
          <w:lang w:val="en-US"/>
        </w:rPr>
        <w:object w:dxaOrig="21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7.05pt;height:31.3pt" o:ole="">
            <v:imagedata r:id="rId5" o:title=""/>
          </v:shape>
          <o:OLEObject Type="Embed" ProgID="Equation.3" ShapeID="_x0000_i1027" DrawAspect="Content" ObjectID="_1778400460" r:id="rId6"/>
        </w:object>
      </w:r>
    </w:p>
    <w:p w:rsidR="009234C1" w:rsidRDefault="009234C1" w:rsidP="009234C1">
      <w:pPr>
        <w:jc w:val="both"/>
      </w:pPr>
      <w:r>
        <w:t>όπου</w:t>
      </w:r>
    </w:p>
    <w:p w:rsidR="009234C1" w:rsidRPr="00EA0D09" w:rsidRDefault="009234C1" w:rsidP="009234C1">
      <w:pPr>
        <w:ind w:left="308" w:hanging="308"/>
        <w:jc w:val="both"/>
      </w:pPr>
      <w:r>
        <w:t xml:space="preserve">Α: Βάρος κάψας σε </w:t>
      </w:r>
      <w:r>
        <w:rPr>
          <w:lang w:val="en-US"/>
        </w:rPr>
        <w:t>g</w:t>
      </w:r>
      <w:r w:rsidRPr="00EA0D09">
        <w:t>.</w:t>
      </w:r>
    </w:p>
    <w:p w:rsidR="009234C1" w:rsidRPr="00EA0D09" w:rsidRDefault="009234C1" w:rsidP="009234C1">
      <w:pPr>
        <w:ind w:left="294" w:hanging="294"/>
        <w:jc w:val="both"/>
      </w:pPr>
      <w:r>
        <w:rPr>
          <w:lang w:val="en-US"/>
        </w:rPr>
        <w:t>B</w:t>
      </w:r>
      <w:r>
        <w:t xml:space="preserve">: μικτό βάρος μετά την ξήρανση σε </w:t>
      </w:r>
      <w:r>
        <w:rPr>
          <w:lang w:val="en-US"/>
        </w:rPr>
        <w:t>g</w:t>
      </w:r>
      <w:r>
        <w:t xml:space="preserve"> (Βάρος ξηρού υπολείμματος + βάρος κάψας μετά από 24</w:t>
      </w:r>
      <w:r>
        <w:rPr>
          <w:lang w:val="en-US"/>
        </w:rPr>
        <w:t>h</w:t>
      </w:r>
      <w:r w:rsidRPr="00EA0D09">
        <w:t xml:space="preserve"> </w:t>
      </w:r>
      <w:r>
        <w:t>στους 105</w:t>
      </w:r>
      <w:r>
        <w:rPr>
          <w:vertAlign w:val="superscript"/>
        </w:rPr>
        <w:t>ο</w:t>
      </w:r>
      <w:r>
        <w:rPr>
          <w:lang w:val="en-US"/>
        </w:rPr>
        <w:t>C</w:t>
      </w:r>
      <w:r w:rsidRPr="00EA0D09">
        <w:t>).</w:t>
      </w:r>
    </w:p>
    <w:p w:rsidR="009234C1" w:rsidRPr="00EA0D09" w:rsidRDefault="009234C1" w:rsidP="009234C1">
      <w:pPr>
        <w:ind w:left="308" w:hanging="308"/>
        <w:jc w:val="both"/>
      </w:pPr>
      <w:r>
        <w:rPr>
          <w:lang w:val="en-US"/>
        </w:rPr>
        <w:t>C</w:t>
      </w:r>
      <w:r w:rsidRPr="00EA0D09">
        <w:t xml:space="preserve">: </w:t>
      </w:r>
      <w:r>
        <w:t xml:space="preserve">Όγκος δείγματος σε </w:t>
      </w:r>
      <w:r>
        <w:rPr>
          <w:lang w:val="en-US"/>
        </w:rPr>
        <w:t>mL</w:t>
      </w:r>
      <w:r w:rsidRPr="00EA0D09">
        <w:t>.</w:t>
      </w:r>
    </w:p>
    <w:p w:rsidR="009234C1" w:rsidRPr="009234C1" w:rsidRDefault="009234C1" w:rsidP="008125BD">
      <w:pPr>
        <w:tabs>
          <w:tab w:val="left" w:pos="2610"/>
        </w:tabs>
      </w:pPr>
    </w:p>
    <w:p w:rsidR="008125BD" w:rsidRPr="00D15DC0" w:rsidRDefault="008125BD" w:rsidP="008125BD">
      <w:pPr>
        <w:pStyle w:val="a3"/>
        <w:tabs>
          <w:tab w:val="left" w:pos="2610"/>
        </w:tabs>
        <w:ind w:left="360"/>
        <w:rPr>
          <w:b/>
          <w:color w:val="2F5496" w:themeColor="accent5" w:themeShade="BF"/>
          <w:u w:val="single"/>
        </w:rPr>
      </w:pPr>
    </w:p>
    <w:p w:rsidR="00D15DC0" w:rsidRPr="00D15DC0" w:rsidRDefault="00D15DC0" w:rsidP="00D15DC0">
      <w:pPr>
        <w:pStyle w:val="a3"/>
        <w:numPr>
          <w:ilvl w:val="0"/>
          <w:numId w:val="1"/>
        </w:numPr>
        <w:tabs>
          <w:tab w:val="left" w:pos="2610"/>
        </w:tabs>
        <w:rPr>
          <w:b/>
          <w:color w:val="2F5496" w:themeColor="accent5" w:themeShade="BF"/>
          <w:u w:val="single"/>
          <w:lang w:val="en-US"/>
        </w:rPr>
      </w:pPr>
      <w:r w:rsidRPr="00D15DC0">
        <w:rPr>
          <w:b/>
          <w:color w:val="2F5496" w:themeColor="accent5" w:themeShade="BF"/>
          <w:u w:val="single"/>
        </w:rPr>
        <w:t>Ολικά</w:t>
      </w:r>
      <w:r w:rsidRPr="00D15DC0">
        <w:rPr>
          <w:b/>
          <w:color w:val="2F5496" w:themeColor="accent5" w:themeShade="BF"/>
          <w:u w:val="single"/>
          <w:lang w:val="en-US"/>
        </w:rPr>
        <w:t xml:space="preserve"> </w:t>
      </w:r>
      <w:r w:rsidRPr="00D15DC0">
        <w:rPr>
          <w:b/>
          <w:color w:val="2F5496" w:themeColor="accent5" w:themeShade="BF"/>
          <w:u w:val="single"/>
        </w:rPr>
        <w:t>Πτητικά</w:t>
      </w:r>
      <w:r w:rsidRPr="00D15DC0">
        <w:rPr>
          <w:b/>
          <w:color w:val="2F5496" w:themeColor="accent5" w:themeShade="BF"/>
          <w:u w:val="single"/>
          <w:lang w:val="en-US"/>
        </w:rPr>
        <w:t xml:space="preserve"> </w:t>
      </w:r>
      <w:r w:rsidRPr="00D15DC0">
        <w:rPr>
          <w:b/>
          <w:color w:val="2F5496" w:themeColor="accent5" w:themeShade="BF"/>
          <w:u w:val="single"/>
        </w:rPr>
        <w:t>στερεά</w:t>
      </w:r>
      <w:r w:rsidRPr="00D15DC0">
        <w:rPr>
          <w:b/>
          <w:color w:val="2F5496" w:themeColor="accent5" w:themeShade="BF"/>
          <w:u w:val="single"/>
          <w:lang w:val="en-US"/>
        </w:rPr>
        <w:t xml:space="preserve"> (</w:t>
      </w:r>
      <w:r w:rsidRPr="00D15DC0">
        <w:rPr>
          <w:b/>
          <w:color w:val="2F5496" w:themeColor="accent5" w:themeShade="BF"/>
          <w:u w:val="single"/>
          <w:lang w:val="en-GB"/>
        </w:rPr>
        <w:t>Total</w:t>
      </w:r>
      <w:r w:rsidRPr="00D15DC0">
        <w:rPr>
          <w:b/>
          <w:color w:val="2F5496" w:themeColor="accent5" w:themeShade="BF"/>
          <w:u w:val="single"/>
          <w:lang w:val="en-US"/>
        </w:rPr>
        <w:t xml:space="preserve"> </w:t>
      </w:r>
      <w:r w:rsidRPr="00D15DC0">
        <w:rPr>
          <w:b/>
          <w:color w:val="2F5496" w:themeColor="accent5" w:themeShade="BF"/>
          <w:u w:val="single"/>
          <w:lang w:val="en-US"/>
        </w:rPr>
        <w:t xml:space="preserve">volatile </w:t>
      </w:r>
      <w:r w:rsidRPr="00D15DC0">
        <w:rPr>
          <w:b/>
          <w:color w:val="2F5496" w:themeColor="accent5" w:themeShade="BF"/>
          <w:u w:val="single"/>
          <w:lang w:val="en-GB"/>
        </w:rPr>
        <w:t>solids</w:t>
      </w:r>
      <w:r w:rsidRPr="00D15DC0">
        <w:rPr>
          <w:b/>
          <w:color w:val="2F5496" w:themeColor="accent5" w:themeShade="BF"/>
          <w:u w:val="single"/>
          <w:lang w:val="en-US"/>
        </w:rPr>
        <w:t>)</w:t>
      </w:r>
    </w:p>
    <w:p w:rsidR="00C0670B" w:rsidRPr="00D15DC0" w:rsidRDefault="00C0670B" w:rsidP="00D15DC0">
      <w:pPr>
        <w:pStyle w:val="a3"/>
        <w:ind w:left="360"/>
        <w:jc w:val="both"/>
        <w:rPr>
          <w:rFonts w:ascii="Calibri" w:hAnsi="Calibri"/>
          <w:lang w:val="en-US"/>
        </w:rPr>
      </w:pPr>
    </w:p>
    <w:p w:rsidR="008125BD" w:rsidRPr="00B17A04" w:rsidRDefault="008125BD" w:rsidP="008125BD">
      <w:pPr>
        <w:tabs>
          <w:tab w:val="left" w:pos="2610"/>
        </w:tabs>
        <w:rPr>
          <w:b/>
          <w:color w:val="0000FF"/>
        </w:rPr>
      </w:pPr>
      <w:r w:rsidRPr="00B17A04">
        <w:rPr>
          <w:b/>
          <w:color w:val="0000FF"/>
        </w:rPr>
        <w:t xml:space="preserve">Ολικά πτητικά στερεά </w:t>
      </w:r>
    </w:p>
    <w:p w:rsidR="008125BD" w:rsidRPr="00567FC6" w:rsidRDefault="008125BD" w:rsidP="008125BD">
      <w:pPr>
        <w:rPr>
          <w:b/>
        </w:rPr>
      </w:pPr>
      <w:proofErr w:type="spellStart"/>
      <w:r w:rsidRPr="00567FC6">
        <w:rPr>
          <w:b/>
        </w:rPr>
        <w:t>Μεθοδος</w:t>
      </w:r>
      <w:proofErr w:type="spellEnd"/>
    </w:p>
    <w:p w:rsidR="008125BD" w:rsidRPr="00A9345E" w:rsidRDefault="008125BD" w:rsidP="008125BD">
      <w:r w:rsidRPr="00B17A04">
        <w:t>Αφορά το διαχωρισμό των ολικών στερεών σε πτητικά (</w:t>
      </w:r>
      <w:r>
        <w:rPr>
          <w:lang w:val="en-GB"/>
        </w:rPr>
        <w:t>volatile</w:t>
      </w:r>
      <w:r w:rsidRPr="00B17A04">
        <w:t>) και σταθερά (</w:t>
      </w:r>
      <w:r>
        <w:rPr>
          <w:lang w:val="en-GB"/>
        </w:rPr>
        <w:t>fixed</w:t>
      </w:r>
      <w:r w:rsidRPr="00B17A04">
        <w:t>).</w:t>
      </w:r>
      <w:r w:rsidRPr="00A9345E">
        <w:t xml:space="preserve"> Η διαδικασία αυτή παρουσιάζει ενδιαφέρον στον έλεγχο των βιομηχανικών αποβλήτων γιατί </w:t>
      </w:r>
      <w:r w:rsidRPr="00A9345E">
        <w:rPr>
          <w:u w:val="single"/>
        </w:rPr>
        <w:t xml:space="preserve">κατά </w:t>
      </w:r>
      <w:r>
        <w:rPr>
          <w:u w:val="single"/>
        </w:rPr>
        <w:t xml:space="preserve">τον υπολογισμό των πτητικών στερεών κατά </w:t>
      </w:r>
      <w:r w:rsidRPr="00A9345E">
        <w:rPr>
          <w:u w:val="single"/>
        </w:rPr>
        <w:t>προσέγγιση</w:t>
      </w:r>
      <w:r>
        <w:t xml:space="preserve"> υπολογίζεται και η</w:t>
      </w:r>
      <w:r w:rsidRPr="00A9345E">
        <w:t xml:space="preserve"> ποσότητα οργανικών ουσιών στο στερεό υπόλειμμα.  </w:t>
      </w:r>
    </w:p>
    <w:p w:rsidR="008125BD" w:rsidRPr="00B17A04" w:rsidRDefault="008125BD" w:rsidP="008125BD">
      <w:pPr>
        <w:tabs>
          <w:tab w:val="left" w:pos="2610"/>
        </w:tabs>
      </w:pPr>
    </w:p>
    <w:p w:rsidR="008125BD" w:rsidRPr="00B17A04" w:rsidRDefault="008125BD" w:rsidP="008125BD">
      <w:pPr>
        <w:tabs>
          <w:tab w:val="left" w:pos="2610"/>
        </w:tabs>
        <w:rPr>
          <w:b/>
        </w:rPr>
      </w:pPr>
      <w:r w:rsidRPr="00B17A04">
        <w:rPr>
          <w:b/>
        </w:rPr>
        <w:t xml:space="preserve">Διαδικασία </w:t>
      </w:r>
    </w:p>
    <w:p w:rsidR="008125BD" w:rsidRPr="00B17A04" w:rsidRDefault="008125BD" w:rsidP="008125BD">
      <w:pPr>
        <w:tabs>
          <w:tab w:val="left" w:pos="2610"/>
        </w:tabs>
      </w:pPr>
      <w:r w:rsidRPr="00B17A04">
        <w:t>Το δείγμα μετά από την ξήρανση μεταφέρεται σε φούρνο όπου και πυρώνεται στους 550 º</w:t>
      </w:r>
      <w:r>
        <w:rPr>
          <w:lang w:val="en-GB"/>
        </w:rPr>
        <w:t>C</w:t>
      </w:r>
      <w:r w:rsidRPr="00B17A04">
        <w:t xml:space="preserve"> για 30 λεπτά.  Ζυγίζεται μόλις κρυώσει όπως και προηγουμένως.  </w:t>
      </w:r>
    </w:p>
    <w:p w:rsidR="008125BD" w:rsidRPr="00B17A04" w:rsidRDefault="008125BD" w:rsidP="008125BD"/>
    <w:p w:rsidR="008125BD" w:rsidRPr="00B17A04" w:rsidRDefault="008125BD" w:rsidP="008125BD">
      <w:pPr>
        <w:rPr>
          <w:b/>
        </w:rPr>
      </w:pPr>
      <w:r w:rsidRPr="00B17A04">
        <w:rPr>
          <w:b/>
        </w:rPr>
        <w:t xml:space="preserve">Υπολογισμοί </w:t>
      </w:r>
    </w:p>
    <w:p w:rsidR="008125BD" w:rsidRPr="00B17A04" w:rsidRDefault="008125BD" w:rsidP="008125BD">
      <w:r w:rsidRPr="00B17A04">
        <w:t>Η απώλεια βάρους αντιστοιχεί στα ολικά πτητικά στερεά.  Το βάρος που ζυγίζουμε μετά από την πύρωση δίνει τα ολικά σταθερά στερεά:</w:t>
      </w:r>
    </w:p>
    <w:p w:rsidR="009234C1" w:rsidRPr="00E64E7B" w:rsidRDefault="009234C1" w:rsidP="009234C1">
      <w:proofErr w:type="gramStart"/>
      <w:r>
        <w:rPr>
          <w:lang w:val="en-US"/>
        </w:rPr>
        <w:t>VS</w:t>
      </w:r>
      <w:r w:rsidRPr="00E64E7B">
        <w:t>(</w:t>
      </w:r>
      <w:proofErr w:type="gramEnd"/>
      <w:r>
        <w:rPr>
          <w:lang w:val="en-US"/>
        </w:rPr>
        <w:t>mg</w:t>
      </w:r>
      <w:r w:rsidRPr="00E64E7B">
        <w:t>/</w:t>
      </w:r>
      <w:r>
        <w:rPr>
          <w:lang w:val="en-US"/>
        </w:rPr>
        <w:t>L</w:t>
      </w:r>
      <w:r w:rsidRPr="00E64E7B">
        <w:t xml:space="preserve">)= </w:t>
      </w:r>
      <w:r w:rsidRPr="00E64E7B">
        <w:rPr>
          <w:position w:val="-24"/>
          <w:lang w:val="en-US"/>
        </w:rPr>
        <w:object w:dxaOrig="2160" w:dyaOrig="620">
          <v:shape id="_x0000_i1029" type="#_x0000_t75" style="width:108.3pt;height:31.3pt" o:ole="">
            <v:imagedata r:id="rId7" o:title=""/>
          </v:shape>
          <o:OLEObject Type="Embed" ProgID="Equation.3" ShapeID="_x0000_i1029" DrawAspect="Content" ObjectID="_1778400461" r:id="rId8"/>
        </w:object>
      </w:r>
    </w:p>
    <w:p w:rsidR="009234C1" w:rsidRDefault="009234C1" w:rsidP="009234C1">
      <w:pPr>
        <w:jc w:val="both"/>
      </w:pPr>
      <w:r>
        <w:t>όπου</w:t>
      </w:r>
    </w:p>
    <w:p w:rsidR="009234C1" w:rsidRPr="00EA0D09" w:rsidRDefault="009234C1" w:rsidP="009234C1">
      <w:pPr>
        <w:ind w:left="308" w:hanging="308"/>
        <w:jc w:val="both"/>
      </w:pPr>
      <w:r>
        <w:rPr>
          <w:lang w:val="en-US"/>
        </w:rPr>
        <w:t>D</w:t>
      </w:r>
      <w:r>
        <w:t xml:space="preserve">: μικτό βάρος μετά την καύση σε </w:t>
      </w:r>
      <w:r>
        <w:rPr>
          <w:lang w:val="en-US"/>
        </w:rPr>
        <w:t>g</w:t>
      </w:r>
      <w:r>
        <w:t xml:space="preserve"> (Βάρος ξηρού υπολείμματος + βάρος κάψας μετά τους </w:t>
      </w:r>
      <w:r w:rsidRPr="00992C7C">
        <w:t>550</w:t>
      </w:r>
      <w:r>
        <w:rPr>
          <w:vertAlign w:val="superscript"/>
        </w:rPr>
        <w:t>ο</w:t>
      </w:r>
      <w:r>
        <w:rPr>
          <w:lang w:val="en-US"/>
        </w:rPr>
        <w:t>C</w:t>
      </w:r>
      <w:r w:rsidRPr="00EA0D09">
        <w:t>).</w:t>
      </w:r>
    </w:p>
    <w:p w:rsidR="009234C1" w:rsidRPr="00EA0D09" w:rsidRDefault="009234C1" w:rsidP="009234C1">
      <w:pPr>
        <w:ind w:left="308" w:hanging="308"/>
        <w:jc w:val="both"/>
      </w:pPr>
      <w:r>
        <w:lastRenderedPageBreak/>
        <w:t xml:space="preserve">Β: μικτό βάρος μετά την ξήρανση σε </w:t>
      </w:r>
      <w:r>
        <w:rPr>
          <w:lang w:val="en-US"/>
        </w:rPr>
        <w:t>g</w:t>
      </w:r>
      <w:r>
        <w:t xml:space="preserve"> (Βάρος ξηρού υπολείμματος + βάρος κάψας μετά από 24</w:t>
      </w:r>
      <w:r>
        <w:rPr>
          <w:lang w:val="en-US"/>
        </w:rPr>
        <w:t>h</w:t>
      </w:r>
      <w:r w:rsidRPr="00EA0D09">
        <w:t xml:space="preserve"> </w:t>
      </w:r>
      <w:r>
        <w:t>στους 105</w:t>
      </w:r>
      <w:r>
        <w:rPr>
          <w:vertAlign w:val="superscript"/>
        </w:rPr>
        <w:t>ο</w:t>
      </w:r>
      <w:r>
        <w:rPr>
          <w:lang w:val="en-US"/>
        </w:rPr>
        <w:t>C</w:t>
      </w:r>
      <w:r w:rsidRPr="00EA0D09">
        <w:t>).</w:t>
      </w:r>
    </w:p>
    <w:p w:rsidR="009234C1" w:rsidRDefault="009234C1" w:rsidP="009234C1">
      <w:pPr>
        <w:ind w:left="308" w:hanging="308"/>
        <w:jc w:val="both"/>
      </w:pPr>
      <w:r>
        <w:rPr>
          <w:lang w:val="en-US"/>
        </w:rPr>
        <w:t>C</w:t>
      </w:r>
      <w:r w:rsidRPr="00EA0D09">
        <w:t xml:space="preserve">: </w:t>
      </w:r>
      <w:r>
        <w:t xml:space="preserve">Όγκος δείγματος σε </w:t>
      </w:r>
      <w:r>
        <w:rPr>
          <w:lang w:val="en-US"/>
        </w:rPr>
        <w:t>mL</w:t>
      </w:r>
      <w:r w:rsidRPr="00EA0D09">
        <w:t>.</w:t>
      </w:r>
    </w:p>
    <w:p w:rsidR="009234C1" w:rsidRPr="009234C1" w:rsidRDefault="009234C1" w:rsidP="008125BD"/>
    <w:p w:rsidR="003B6E66" w:rsidRPr="008125BD" w:rsidRDefault="003B6E66" w:rsidP="003B6E66">
      <w:pPr>
        <w:pStyle w:val="a3"/>
        <w:ind w:left="360"/>
        <w:jc w:val="both"/>
        <w:rPr>
          <w:rFonts w:ascii="Calibri" w:hAnsi="Calibri"/>
          <w:b/>
          <w:color w:val="2F5496" w:themeColor="accent5" w:themeShade="BF"/>
          <w:sz w:val="28"/>
          <w:szCs w:val="28"/>
        </w:rPr>
      </w:pPr>
    </w:p>
    <w:p w:rsidR="00CE4813" w:rsidRDefault="00CE4813" w:rsidP="00CE4813">
      <w:pPr>
        <w:pStyle w:val="a3"/>
        <w:tabs>
          <w:tab w:val="left" w:pos="2610"/>
        </w:tabs>
        <w:ind w:left="360"/>
        <w:jc w:val="center"/>
        <w:rPr>
          <w:rFonts w:ascii="Calibri" w:hAnsi="Calibri"/>
          <w:b/>
          <w:color w:val="2F5496" w:themeColor="accent5" w:themeShade="BF"/>
          <w:sz w:val="28"/>
          <w:szCs w:val="28"/>
        </w:rPr>
      </w:pPr>
      <w:r>
        <w:rPr>
          <w:rFonts w:ascii="Calibri" w:hAnsi="Calibri"/>
          <w:b/>
          <w:color w:val="2F5496" w:themeColor="accent5" w:themeShade="BF"/>
          <w:sz w:val="28"/>
          <w:szCs w:val="28"/>
        </w:rPr>
        <w:t>Άσκηση:</w:t>
      </w:r>
    </w:p>
    <w:p w:rsidR="00955E96" w:rsidRPr="00836997" w:rsidRDefault="00955E96" w:rsidP="00955E96">
      <w:pPr>
        <w:pStyle w:val="a3"/>
        <w:numPr>
          <w:ilvl w:val="0"/>
          <w:numId w:val="8"/>
        </w:numPr>
        <w:tabs>
          <w:tab w:val="left" w:pos="2610"/>
        </w:tabs>
        <w:jc w:val="center"/>
        <w:rPr>
          <w:rFonts w:ascii="Calibri" w:hAnsi="Calibri"/>
        </w:rPr>
      </w:pPr>
      <w:r w:rsidRPr="00836997">
        <w:rPr>
          <w:rFonts w:ascii="Calibri" w:hAnsi="Calibri"/>
        </w:rPr>
        <w:t>Να συμπληρωθούν στον παρακάτω πίνακα οι τιμές των παραμέτρων που εξετάστηκαν στο εργαστήριο.</w:t>
      </w:r>
    </w:p>
    <w:p w:rsidR="00955E96" w:rsidRPr="00E861E4" w:rsidRDefault="00955E96" w:rsidP="00955E96">
      <w:pPr>
        <w:tabs>
          <w:tab w:val="left" w:pos="2610"/>
        </w:tabs>
        <w:rPr>
          <w:rFonts w:ascii="Calibri" w:hAnsi="Calibri"/>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9"/>
        <w:gridCol w:w="914"/>
        <w:gridCol w:w="920"/>
      </w:tblGrid>
      <w:tr w:rsidR="00955E96" w:rsidRPr="00C11F76" w:rsidTr="005E0B28">
        <w:trPr>
          <w:trHeight w:val="789"/>
          <w:jc w:val="center"/>
        </w:trPr>
        <w:tc>
          <w:tcPr>
            <w:tcW w:w="5679" w:type="dxa"/>
            <w:vMerge w:val="restart"/>
            <w:tcBorders>
              <w:top w:val="single" w:sz="12" w:space="0" w:color="auto"/>
              <w:left w:val="single" w:sz="4" w:space="0" w:color="auto"/>
              <w:right w:val="single" w:sz="4" w:space="0" w:color="auto"/>
            </w:tcBorders>
          </w:tcPr>
          <w:p w:rsidR="00955E96" w:rsidRDefault="00955E96" w:rsidP="005E0B28">
            <w:pPr>
              <w:spacing w:before="120" w:after="120" w:line="240" w:lineRule="auto"/>
              <w:rPr>
                <w:rFonts w:cs="Tahoma"/>
                <w:b/>
                <w:sz w:val="20"/>
                <w:szCs w:val="20"/>
              </w:rPr>
            </w:pPr>
          </w:p>
          <w:p w:rsidR="00955E96" w:rsidRDefault="00955E96" w:rsidP="005E0B28">
            <w:pPr>
              <w:spacing w:before="120" w:after="120" w:line="240" w:lineRule="auto"/>
              <w:jc w:val="center"/>
              <w:rPr>
                <w:rFonts w:cs="Tahoma"/>
                <w:b/>
                <w:sz w:val="20"/>
                <w:szCs w:val="20"/>
              </w:rPr>
            </w:pPr>
          </w:p>
          <w:p w:rsidR="00955E96" w:rsidRPr="00C11F76" w:rsidRDefault="00955E96" w:rsidP="005E0B28">
            <w:pPr>
              <w:spacing w:before="120" w:after="120" w:line="240" w:lineRule="auto"/>
              <w:jc w:val="center"/>
              <w:rPr>
                <w:rFonts w:cs="Tahoma"/>
                <w:b/>
                <w:sz w:val="20"/>
                <w:szCs w:val="20"/>
              </w:rPr>
            </w:pPr>
            <w:r w:rsidRPr="00C11F76">
              <w:rPr>
                <w:rFonts w:cs="Tahoma"/>
                <w:b/>
                <w:sz w:val="20"/>
                <w:szCs w:val="20"/>
              </w:rPr>
              <w:t>Παράμετροι ελέγχου</w:t>
            </w:r>
          </w:p>
        </w:tc>
        <w:tc>
          <w:tcPr>
            <w:tcW w:w="1834" w:type="dxa"/>
            <w:gridSpan w:val="2"/>
            <w:tcBorders>
              <w:top w:val="single" w:sz="12" w:space="0" w:color="auto"/>
              <w:left w:val="single" w:sz="4" w:space="0" w:color="auto"/>
              <w:bottom w:val="single" w:sz="4" w:space="0" w:color="auto"/>
              <w:right w:val="single" w:sz="4" w:space="0" w:color="auto"/>
            </w:tcBorders>
          </w:tcPr>
          <w:p w:rsidR="00955E96" w:rsidRPr="00C11F76" w:rsidRDefault="00955E96" w:rsidP="005E0B28">
            <w:pPr>
              <w:spacing w:before="120" w:after="120" w:line="240" w:lineRule="auto"/>
              <w:jc w:val="center"/>
              <w:rPr>
                <w:rFonts w:cs="Tahoma"/>
                <w:b/>
                <w:sz w:val="20"/>
                <w:szCs w:val="20"/>
              </w:rPr>
            </w:pPr>
          </w:p>
        </w:tc>
      </w:tr>
      <w:tr w:rsidR="00955E96" w:rsidRPr="00C11F76" w:rsidTr="005E0B28">
        <w:trPr>
          <w:trHeight w:val="567"/>
          <w:jc w:val="center"/>
        </w:trPr>
        <w:tc>
          <w:tcPr>
            <w:tcW w:w="5679" w:type="dxa"/>
            <w:vMerge/>
            <w:tcBorders>
              <w:left w:val="single" w:sz="4" w:space="0" w:color="auto"/>
              <w:bottom w:val="single" w:sz="12" w:space="0" w:color="auto"/>
              <w:right w:val="single" w:sz="4" w:space="0" w:color="auto"/>
            </w:tcBorders>
          </w:tcPr>
          <w:p w:rsidR="00955E96" w:rsidRPr="00C11F76" w:rsidRDefault="00955E96" w:rsidP="005E0B28">
            <w:pPr>
              <w:rPr>
                <w:rFonts w:cs="Tahoma"/>
                <w:b/>
                <w:sz w:val="20"/>
                <w:szCs w:val="20"/>
              </w:rPr>
            </w:pPr>
          </w:p>
        </w:tc>
        <w:tc>
          <w:tcPr>
            <w:tcW w:w="914" w:type="dxa"/>
            <w:tcBorders>
              <w:top w:val="single" w:sz="4" w:space="0" w:color="auto"/>
              <w:left w:val="single" w:sz="4" w:space="0" w:color="auto"/>
              <w:bottom w:val="single" w:sz="12" w:space="0" w:color="auto"/>
              <w:right w:val="single" w:sz="4" w:space="0" w:color="auto"/>
            </w:tcBorders>
          </w:tcPr>
          <w:p w:rsidR="00955E96" w:rsidRPr="00C11F76" w:rsidRDefault="00955E96" w:rsidP="005E0B28">
            <w:pPr>
              <w:jc w:val="center"/>
              <w:rPr>
                <w:rFonts w:cs="Tahoma"/>
                <w:b/>
                <w:sz w:val="20"/>
                <w:szCs w:val="20"/>
              </w:rPr>
            </w:pPr>
            <w:r w:rsidRPr="00C11F76">
              <w:rPr>
                <w:rFonts w:cs="Tahoma"/>
                <w:b/>
                <w:sz w:val="20"/>
                <w:szCs w:val="20"/>
              </w:rPr>
              <w:t>Εισροή</w:t>
            </w:r>
          </w:p>
        </w:tc>
        <w:tc>
          <w:tcPr>
            <w:tcW w:w="920" w:type="dxa"/>
            <w:tcBorders>
              <w:top w:val="single" w:sz="4" w:space="0" w:color="auto"/>
              <w:left w:val="single" w:sz="4" w:space="0" w:color="auto"/>
              <w:bottom w:val="single" w:sz="12" w:space="0" w:color="auto"/>
              <w:right w:val="single" w:sz="4" w:space="0" w:color="auto"/>
            </w:tcBorders>
          </w:tcPr>
          <w:p w:rsidR="00955E96" w:rsidRPr="00C11F76" w:rsidRDefault="00955E96" w:rsidP="005E0B28">
            <w:pPr>
              <w:jc w:val="center"/>
              <w:rPr>
                <w:rFonts w:cs="Tahoma"/>
                <w:b/>
                <w:sz w:val="20"/>
                <w:szCs w:val="20"/>
              </w:rPr>
            </w:pPr>
            <w:r w:rsidRPr="00C11F76">
              <w:rPr>
                <w:rFonts w:cs="Tahoma"/>
                <w:b/>
                <w:sz w:val="20"/>
                <w:szCs w:val="20"/>
              </w:rPr>
              <w:t>Εκροή</w:t>
            </w:r>
          </w:p>
        </w:tc>
      </w:tr>
      <w:tr w:rsidR="00955E96" w:rsidRPr="003B1BC8" w:rsidTr="005E0B28">
        <w:trPr>
          <w:trHeight w:val="531"/>
          <w:jc w:val="center"/>
        </w:trPr>
        <w:tc>
          <w:tcPr>
            <w:tcW w:w="5679" w:type="dxa"/>
            <w:tcBorders>
              <w:top w:val="single" w:sz="12" w:space="0" w:color="auto"/>
              <w:left w:val="single" w:sz="4" w:space="0" w:color="auto"/>
              <w:bottom w:val="single" w:sz="4" w:space="0" w:color="auto"/>
              <w:right w:val="single" w:sz="4" w:space="0" w:color="auto"/>
            </w:tcBorders>
          </w:tcPr>
          <w:p w:rsidR="00955E96" w:rsidRPr="00955E96" w:rsidRDefault="00955E96" w:rsidP="005E0B28">
            <w:pPr>
              <w:spacing w:after="0" w:line="240" w:lineRule="auto"/>
              <w:jc w:val="center"/>
              <w:rPr>
                <w:rFonts w:cs="Tahoma"/>
                <w:sz w:val="20"/>
                <w:szCs w:val="20"/>
                <w:lang w:val="en-US"/>
              </w:rPr>
            </w:pPr>
            <w:r>
              <w:rPr>
                <w:rFonts w:cs="Tahoma"/>
                <w:sz w:val="20"/>
                <w:szCs w:val="20"/>
                <w:lang w:val="en-US"/>
              </w:rPr>
              <w:t>TP</w:t>
            </w:r>
          </w:p>
          <w:p w:rsidR="00955E96" w:rsidRPr="008125BD" w:rsidRDefault="00955E96" w:rsidP="005E0B28">
            <w:pPr>
              <w:spacing w:after="0" w:line="240" w:lineRule="auto"/>
              <w:jc w:val="center"/>
              <w:rPr>
                <w:rFonts w:cs="Tahoma"/>
                <w:sz w:val="20"/>
                <w:szCs w:val="20"/>
                <w:lang w:val="en-US"/>
              </w:rPr>
            </w:pPr>
            <w:r w:rsidRPr="003B1BC8">
              <w:rPr>
                <w:rFonts w:cs="Tahoma"/>
                <w:sz w:val="20"/>
                <w:szCs w:val="20"/>
              </w:rPr>
              <w:t>[</w:t>
            </w:r>
            <w:r w:rsidRPr="003B1BC8">
              <w:rPr>
                <w:rFonts w:cs="Tahoma"/>
                <w:sz w:val="20"/>
                <w:szCs w:val="20"/>
                <w:lang w:val="en-US"/>
              </w:rPr>
              <w:t>ppm</w:t>
            </w:r>
            <w:r w:rsidRPr="003B1BC8">
              <w:rPr>
                <w:rFonts w:cs="Tahoma"/>
                <w:sz w:val="20"/>
                <w:szCs w:val="20"/>
              </w:rPr>
              <w:t>]</w:t>
            </w:r>
            <w:r w:rsidR="008125BD">
              <w:rPr>
                <w:rFonts w:cs="Tahoma"/>
                <w:sz w:val="20"/>
                <w:szCs w:val="20"/>
                <w:lang w:val="en-US"/>
              </w:rPr>
              <w:t xml:space="preserve"> </w:t>
            </w:r>
            <w:r w:rsidR="008125BD">
              <w:rPr>
                <w:rFonts w:cs="Tahoma"/>
                <w:sz w:val="20"/>
                <w:szCs w:val="20"/>
              </w:rPr>
              <w:t>ή [</w:t>
            </w:r>
            <w:r w:rsidR="008125BD">
              <w:rPr>
                <w:rFonts w:cs="Tahoma"/>
                <w:sz w:val="20"/>
                <w:szCs w:val="20"/>
                <w:lang w:val="en-US"/>
              </w:rPr>
              <w:t>mg/L]</w:t>
            </w:r>
          </w:p>
        </w:tc>
        <w:tc>
          <w:tcPr>
            <w:tcW w:w="914" w:type="dxa"/>
            <w:tcBorders>
              <w:top w:val="single" w:sz="12" w:space="0" w:color="auto"/>
              <w:left w:val="single" w:sz="4" w:space="0" w:color="auto"/>
              <w:bottom w:val="single" w:sz="4" w:space="0" w:color="auto"/>
              <w:right w:val="single" w:sz="4" w:space="0" w:color="auto"/>
            </w:tcBorders>
          </w:tcPr>
          <w:p w:rsidR="00955E96" w:rsidRPr="003B1BC8" w:rsidRDefault="00955E96" w:rsidP="005E0B28">
            <w:pPr>
              <w:spacing w:before="120" w:after="0" w:line="240" w:lineRule="auto"/>
              <w:jc w:val="center"/>
              <w:rPr>
                <w:rFonts w:cs="Tahoma"/>
                <w:sz w:val="20"/>
                <w:szCs w:val="20"/>
              </w:rPr>
            </w:pPr>
          </w:p>
        </w:tc>
        <w:tc>
          <w:tcPr>
            <w:tcW w:w="920" w:type="dxa"/>
            <w:tcBorders>
              <w:top w:val="single" w:sz="12" w:space="0" w:color="auto"/>
              <w:left w:val="single" w:sz="4" w:space="0" w:color="auto"/>
              <w:bottom w:val="single" w:sz="4" w:space="0" w:color="auto"/>
              <w:right w:val="single" w:sz="4" w:space="0" w:color="auto"/>
            </w:tcBorders>
          </w:tcPr>
          <w:p w:rsidR="00955E96" w:rsidRPr="003B1BC8" w:rsidRDefault="00955E96" w:rsidP="005E0B28">
            <w:pPr>
              <w:spacing w:before="120" w:after="0" w:line="240" w:lineRule="auto"/>
              <w:jc w:val="center"/>
              <w:rPr>
                <w:rFonts w:cs="Tahoma"/>
                <w:sz w:val="20"/>
                <w:szCs w:val="20"/>
              </w:rPr>
            </w:pPr>
          </w:p>
        </w:tc>
      </w:tr>
      <w:tr w:rsidR="00955E96" w:rsidRPr="003B1BC8" w:rsidTr="005E0B28">
        <w:trPr>
          <w:jc w:val="center"/>
        </w:trPr>
        <w:tc>
          <w:tcPr>
            <w:tcW w:w="5679" w:type="dxa"/>
            <w:tcBorders>
              <w:top w:val="single" w:sz="4" w:space="0" w:color="auto"/>
              <w:left w:val="single" w:sz="4" w:space="0" w:color="auto"/>
              <w:bottom w:val="single" w:sz="4" w:space="0" w:color="auto"/>
              <w:right w:val="single" w:sz="4" w:space="0" w:color="auto"/>
            </w:tcBorders>
          </w:tcPr>
          <w:p w:rsidR="00955E96" w:rsidRPr="00955E96" w:rsidRDefault="00955E96" w:rsidP="00955E96">
            <w:pPr>
              <w:spacing w:after="0" w:line="240" w:lineRule="auto"/>
              <w:jc w:val="center"/>
              <w:rPr>
                <w:rFonts w:cs="Tahoma"/>
                <w:sz w:val="20"/>
                <w:szCs w:val="20"/>
                <w:lang w:val="en-US"/>
              </w:rPr>
            </w:pPr>
            <w:r>
              <w:rPr>
                <w:rFonts w:cs="Tahoma"/>
                <w:sz w:val="20"/>
                <w:szCs w:val="20"/>
                <w:lang w:val="en-US"/>
              </w:rPr>
              <w:t>TN</w:t>
            </w:r>
          </w:p>
          <w:p w:rsidR="00955E96" w:rsidRPr="003B1BC8" w:rsidRDefault="008125BD" w:rsidP="00955E96">
            <w:pPr>
              <w:spacing w:after="0" w:line="240" w:lineRule="auto"/>
              <w:jc w:val="center"/>
              <w:rPr>
                <w:rFonts w:cs="Tahoma"/>
                <w:sz w:val="20"/>
                <w:szCs w:val="20"/>
              </w:rPr>
            </w:pPr>
            <w:r w:rsidRPr="003B1BC8">
              <w:rPr>
                <w:rFonts w:cs="Tahoma"/>
                <w:sz w:val="20"/>
                <w:szCs w:val="20"/>
              </w:rPr>
              <w:t>[</w:t>
            </w:r>
            <w:r w:rsidRPr="003B1BC8">
              <w:rPr>
                <w:rFonts w:cs="Tahoma"/>
                <w:sz w:val="20"/>
                <w:szCs w:val="20"/>
                <w:lang w:val="en-US"/>
              </w:rPr>
              <w:t>ppm</w:t>
            </w:r>
            <w:r w:rsidRPr="003B1BC8">
              <w:rPr>
                <w:rFonts w:cs="Tahoma"/>
                <w:sz w:val="20"/>
                <w:szCs w:val="20"/>
              </w:rPr>
              <w:t>]</w:t>
            </w:r>
            <w:r>
              <w:rPr>
                <w:rFonts w:cs="Tahoma"/>
                <w:sz w:val="20"/>
                <w:szCs w:val="20"/>
                <w:lang w:val="en-US"/>
              </w:rPr>
              <w:t xml:space="preserve"> </w:t>
            </w:r>
            <w:r>
              <w:rPr>
                <w:rFonts w:cs="Tahoma"/>
                <w:sz w:val="20"/>
                <w:szCs w:val="20"/>
              </w:rPr>
              <w:t>ή [</w:t>
            </w:r>
            <w:r>
              <w:rPr>
                <w:rFonts w:cs="Tahoma"/>
                <w:sz w:val="20"/>
                <w:szCs w:val="20"/>
                <w:lang w:val="en-US"/>
              </w:rPr>
              <w:t>mg/L]</w:t>
            </w:r>
          </w:p>
        </w:tc>
        <w:tc>
          <w:tcPr>
            <w:tcW w:w="914" w:type="dxa"/>
            <w:tcBorders>
              <w:top w:val="single" w:sz="4" w:space="0" w:color="auto"/>
              <w:left w:val="single" w:sz="4" w:space="0" w:color="auto"/>
              <w:bottom w:val="single" w:sz="4" w:space="0" w:color="auto"/>
              <w:right w:val="single" w:sz="4" w:space="0" w:color="auto"/>
            </w:tcBorders>
          </w:tcPr>
          <w:p w:rsidR="00955E96" w:rsidRPr="003B1BC8" w:rsidRDefault="00955E96" w:rsidP="005E0B28">
            <w:pPr>
              <w:spacing w:before="120" w:after="0" w:line="240" w:lineRule="auto"/>
              <w:rPr>
                <w:rFonts w:cs="Tahoma"/>
                <w:sz w:val="20"/>
                <w:szCs w:val="20"/>
              </w:rPr>
            </w:pPr>
          </w:p>
        </w:tc>
        <w:tc>
          <w:tcPr>
            <w:tcW w:w="920" w:type="dxa"/>
            <w:tcBorders>
              <w:top w:val="single" w:sz="4" w:space="0" w:color="auto"/>
              <w:left w:val="single" w:sz="4" w:space="0" w:color="auto"/>
              <w:bottom w:val="single" w:sz="4" w:space="0" w:color="auto"/>
              <w:right w:val="single" w:sz="4" w:space="0" w:color="auto"/>
            </w:tcBorders>
          </w:tcPr>
          <w:p w:rsidR="00955E96" w:rsidRPr="003B1BC8" w:rsidRDefault="00955E96" w:rsidP="005E0B28">
            <w:pPr>
              <w:spacing w:before="120" w:after="0" w:line="240" w:lineRule="auto"/>
              <w:jc w:val="center"/>
              <w:rPr>
                <w:rFonts w:cs="Tahoma"/>
                <w:sz w:val="20"/>
                <w:szCs w:val="20"/>
              </w:rPr>
            </w:pPr>
          </w:p>
        </w:tc>
      </w:tr>
      <w:tr w:rsidR="008125BD" w:rsidRPr="003B1BC8" w:rsidTr="005E0B28">
        <w:trPr>
          <w:jc w:val="center"/>
        </w:trPr>
        <w:tc>
          <w:tcPr>
            <w:tcW w:w="5679" w:type="dxa"/>
            <w:tcBorders>
              <w:top w:val="single" w:sz="4" w:space="0" w:color="auto"/>
              <w:left w:val="single" w:sz="4" w:space="0" w:color="auto"/>
              <w:bottom w:val="single" w:sz="4" w:space="0" w:color="auto"/>
              <w:right w:val="single" w:sz="4" w:space="0" w:color="auto"/>
            </w:tcBorders>
          </w:tcPr>
          <w:p w:rsidR="008125BD" w:rsidRPr="008125BD" w:rsidRDefault="008125BD" w:rsidP="00955E96">
            <w:pPr>
              <w:spacing w:after="0" w:line="240" w:lineRule="auto"/>
              <w:jc w:val="center"/>
              <w:rPr>
                <w:rFonts w:cs="Tahoma"/>
                <w:sz w:val="20"/>
                <w:szCs w:val="20"/>
                <w:lang w:val="en-US"/>
              </w:rPr>
            </w:pPr>
            <w:r>
              <w:rPr>
                <w:rFonts w:cs="Tahoma"/>
                <w:sz w:val="20"/>
                <w:szCs w:val="20"/>
                <w:lang w:val="en-US"/>
              </w:rPr>
              <w:t xml:space="preserve">TS </w:t>
            </w:r>
            <w:r w:rsidRPr="003B1BC8">
              <w:rPr>
                <w:rFonts w:cs="Tahoma"/>
                <w:sz w:val="20"/>
                <w:szCs w:val="20"/>
              </w:rPr>
              <w:t>[</w:t>
            </w:r>
            <w:r w:rsidRPr="003B1BC8">
              <w:rPr>
                <w:rFonts w:cs="Tahoma"/>
                <w:sz w:val="20"/>
                <w:szCs w:val="20"/>
                <w:lang w:val="en-US"/>
              </w:rPr>
              <w:t>ppm</w:t>
            </w:r>
            <w:r w:rsidRPr="003B1BC8">
              <w:rPr>
                <w:rFonts w:cs="Tahoma"/>
                <w:sz w:val="20"/>
                <w:szCs w:val="20"/>
              </w:rPr>
              <w:t>]</w:t>
            </w:r>
            <w:r>
              <w:rPr>
                <w:rFonts w:cs="Tahoma"/>
                <w:sz w:val="20"/>
                <w:szCs w:val="20"/>
                <w:lang w:val="en-US"/>
              </w:rPr>
              <w:t xml:space="preserve"> </w:t>
            </w:r>
            <w:r>
              <w:rPr>
                <w:rFonts w:cs="Tahoma"/>
                <w:sz w:val="20"/>
                <w:szCs w:val="20"/>
              </w:rPr>
              <w:t>ή [</w:t>
            </w:r>
            <w:r>
              <w:rPr>
                <w:rFonts w:cs="Tahoma"/>
                <w:sz w:val="20"/>
                <w:szCs w:val="20"/>
                <w:lang w:val="en-US"/>
              </w:rPr>
              <w:t>mg/L]</w:t>
            </w:r>
          </w:p>
        </w:tc>
        <w:tc>
          <w:tcPr>
            <w:tcW w:w="914" w:type="dxa"/>
            <w:tcBorders>
              <w:top w:val="single" w:sz="4" w:space="0" w:color="auto"/>
              <w:left w:val="single" w:sz="4" w:space="0" w:color="auto"/>
              <w:bottom w:val="single" w:sz="4" w:space="0" w:color="auto"/>
              <w:right w:val="single" w:sz="4" w:space="0" w:color="auto"/>
            </w:tcBorders>
          </w:tcPr>
          <w:p w:rsidR="008125BD" w:rsidRPr="003B1BC8" w:rsidRDefault="008125BD" w:rsidP="005E0B28">
            <w:pPr>
              <w:spacing w:before="120" w:after="0" w:line="240" w:lineRule="auto"/>
              <w:rPr>
                <w:rFonts w:cs="Tahoma"/>
                <w:sz w:val="20"/>
                <w:szCs w:val="20"/>
              </w:rPr>
            </w:pPr>
          </w:p>
        </w:tc>
        <w:tc>
          <w:tcPr>
            <w:tcW w:w="920" w:type="dxa"/>
            <w:tcBorders>
              <w:top w:val="single" w:sz="4" w:space="0" w:color="auto"/>
              <w:left w:val="single" w:sz="4" w:space="0" w:color="auto"/>
              <w:bottom w:val="single" w:sz="4" w:space="0" w:color="auto"/>
              <w:right w:val="single" w:sz="4" w:space="0" w:color="auto"/>
            </w:tcBorders>
          </w:tcPr>
          <w:p w:rsidR="008125BD" w:rsidRPr="003B1BC8" w:rsidRDefault="008125BD" w:rsidP="005E0B28">
            <w:pPr>
              <w:spacing w:before="120" w:after="0" w:line="240" w:lineRule="auto"/>
              <w:jc w:val="center"/>
              <w:rPr>
                <w:rFonts w:cs="Tahoma"/>
                <w:sz w:val="20"/>
                <w:szCs w:val="20"/>
              </w:rPr>
            </w:pPr>
          </w:p>
        </w:tc>
      </w:tr>
      <w:tr w:rsidR="00955E96" w:rsidRPr="003B1BC8" w:rsidTr="005E0B28">
        <w:trPr>
          <w:jc w:val="center"/>
        </w:trPr>
        <w:tc>
          <w:tcPr>
            <w:tcW w:w="5679" w:type="dxa"/>
            <w:tcBorders>
              <w:top w:val="single" w:sz="4" w:space="0" w:color="auto"/>
              <w:left w:val="single" w:sz="4" w:space="0" w:color="auto"/>
              <w:bottom w:val="single" w:sz="4" w:space="0" w:color="auto"/>
              <w:right w:val="single" w:sz="4" w:space="0" w:color="auto"/>
            </w:tcBorders>
          </w:tcPr>
          <w:p w:rsidR="00955E96" w:rsidRPr="008125BD" w:rsidRDefault="008125BD" w:rsidP="005E0B28">
            <w:pPr>
              <w:spacing w:after="0" w:line="240" w:lineRule="auto"/>
              <w:jc w:val="center"/>
              <w:rPr>
                <w:rFonts w:cs="Tahoma"/>
                <w:sz w:val="20"/>
                <w:szCs w:val="20"/>
                <w:lang w:val="en-US"/>
              </w:rPr>
            </w:pPr>
            <w:r>
              <w:rPr>
                <w:rFonts w:cs="Tahoma"/>
                <w:sz w:val="20"/>
                <w:szCs w:val="20"/>
                <w:lang w:val="en-US"/>
              </w:rPr>
              <w:t xml:space="preserve">VS </w:t>
            </w:r>
            <w:r w:rsidRPr="003B1BC8">
              <w:rPr>
                <w:rFonts w:cs="Tahoma"/>
                <w:sz w:val="20"/>
                <w:szCs w:val="20"/>
              </w:rPr>
              <w:t>[</w:t>
            </w:r>
            <w:r w:rsidRPr="003B1BC8">
              <w:rPr>
                <w:rFonts w:cs="Tahoma"/>
                <w:sz w:val="20"/>
                <w:szCs w:val="20"/>
                <w:lang w:val="en-US"/>
              </w:rPr>
              <w:t>ppm</w:t>
            </w:r>
            <w:r w:rsidRPr="003B1BC8">
              <w:rPr>
                <w:rFonts w:cs="Tahoma"/>
                <w:sz w:val="20"/>
                <w:szCs w:val="20"/>
              </w:rPr>
              <w:t>]</w:t>
            </w:r>
            <w:r>
              <w:rPr>
                <w:rFonts w:cs="Tahoma"/>
                <w:sz w:val="20"/>
                <w:szCs w:val="20"/>
                <w:lang w:val="en-US"/>
              </w:rPr>
              <w:t xml:space="preserve"> </w:t>
            </w:r>
            <w:r>
              <w:rPr>
                <w:rFonts w:cs="Tahoma"/>
                <w:sz w:val="20"/>
                <w:szCs w:val="20"/>
              </w:rPr>
              <w:t>ή [</w:t>
            </w:r>
            <w:r>
              <w:rPr>
                <w:rFonts w:cs="Tahoma"/>
                <w:sz w:val="20"/>
                <w:szCs w:val="20"/>
                <w:lang w:val="en-US"/>
              </w:rPr>
              <w:t>mg/L]</w:t>
            </w:r>
          </w:p>
        </w:tc>
        <w:tc>
          <w:tcPr>
            <w:tcW w:w="914" w:type="dxa"/>
            <w:tcBorders>
              <w:top w:val="single" w:sz="4" w:space="0" w:color="auto"/>
              <w:left w:val="single" w:sz="4" w:space="0" w:color="auto"/>
              <w:bottom w:val="single" w:sz="4" w:space="0" w:color="auto"/>
              <w:right w:val="single" w:sz="4" w:space="0" w:color="auto"/>
            </w:tcBorders>
          </w:tcPr>
          <w:p w:rsidR="00955E96" w:rsidRPr="003B1BC8" w:rsidRDefault="00955E96" w:rsidP="005E0B28">
            <w:pPr>
              <w:spacing w:before="120" w:after="0" w:line="240" w:lineRule="auto"/>
              <w:jc w:val="center"/>
              <w:rPr>
                <w:rFonts w:cs="Tahoma"/>
                <w:sz w:val="20"/>
                <w:szCs w:val="20"/>
              </w:rPr>
            </w:pPr>
          </w:p>
        </w:tc>
        <w:tc>
          <w:tcPr>
            <w:tcW w:w="920" w:type="dxa"/>
            <w:tcBorders>
              <w:top w:val="single" w:sz="4" w:space="0" w:color="auto"/>
              <w:left w:val="single" w:sz="4" w:space="0" w:color="auto"/>
              <w:bottom w:val="single" w:sz="4" w:space="0" w:color="auto"/>
              <w:right w:val="single" w:sz="4" w:space="0" w:color="auto"/>
            </w:tcBorders>
          </w:tcPr>
          <w:p w:rsidR="00955E96" w:rsidRPr="003B1BC8" w:rsidRDefault="00955E96" w:rsidP="005E0B28">
            <w:pPr>
              <w:spacing w:before="120" w:after="0" w:line="240" w:lineRule="auto"/>
              <w:rPr>
                <w:rFonts w:cs="Tahoma"/>
                <w:sz w:val="20"/>
                <w:szCs w:val="20"/>
              </w:rPr>
            </w:pPr>
          </w:p>
        </w:tc>
      </w:tr>
    </w:tbl>
    <w:p w:rsidR="00821FB4" w:rsidRDefault="009234C1" w:rsidP="009234C1">
      <w:pPr>
        <w:pStyle w:val="a3"/>
      </w:pPr>
    </w:p>
    <w:sectPr w:rsidR="00821FB4" w:rsidSect="00CE4813">
      <w:pgSz w:w="11906" w:h="16838"/>
      <w:pgMar w:top="1440" w:right="991"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507C"/>
    <w:multiLevelType w:val="hybridMultilevel"/>
    <w:tmpl w:val="230279DA"/>
    <w:lvl w:ilvl="0" w:tplc="27C4DCA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39A05C8"/>
    <w:multiLevelType w:val="hybridMultilevel"/>
    <w:tmpl w:val="062AB354"/>
    <w:lvl w:ilvl="0" w:tplc="0C047050">
      <w:start w:val="1"/>
      <w:numFmt w:val="decimal"/>
      <w:lvlText w:val="%1."/>
      <w:lvlJc w:val="left"/>
      <w:pPr>
        <w:ind w:left="360" w:hanging="360"/>
      </w:pPr>
      <w:rPr>
        <w:rFonts w:hint="default"/>
        <w:b/>
        <w:color w:val="2F5496" w:themeColor="accent5" w:themeShade="BF"/>
        <w:sz w:val="28"/>
        <w:szCs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4D37BAC"/>
    <w:multiLevelType w:val="hybridMultilevel"/>
    <w:tmpl w:val="A6E085DA"/>
    <w:lvl w:ilvl="0" w:tplc="0DD0270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EB46311"/>
    <w:multiLevelType w:val="hybridMultilevel"/>
    <w:tmpl w:val="9440019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53E3EC2"/>
    <w:multiLevelType w:val="hybridMultilevel"/>
    <w:tmpl w:val="AF4C8B54"/>
    <w:lvl w:ilvl="0" w:tplc="0DD0270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F262999"/>
    <w:multiLevelType w:val="hybridMultilevel"/>
    <w:tmpl w:val="37180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DF6F16"/>
    <w:multiLevelType w:val="hybridMultilevel"/>
    <w:tmpl w:val="BE926168"/>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DD2448"/>
    <w:multiLevelType w:val="hybridMultilevel"/>
    <w:tmpl w:val="1076BA72"/>
    <w:lvl w:ilvl="0" w:tplc="0DD0270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722B25"/>
    <w:multiLevelType w:val="hybridMultilevel"/>
    <w:tmpl w:val="E422AF34"/>
    <w:lvl w:ilvl="0" w:tplc="6158C4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3"/>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813"/>
    <w:rsid w:val="003B6E66"/>
    <w:rsid w:val="00774401"/>
    <w:rsid w:val="007E20FC"/>
    <w:rsid w:val="008125BD"/>
    <w:rsid w:val="009234C1"/>
    <w:rsid w:val="00955E96"/>
    <w:rsid w:val="00C0670B"/>
    <w:rsid w:val="00CE4813"/>
    <w:rsid w:val="00D15DC0"/>
    <w:rsid w:val="00E26799"/>
    <w:rsid w:val="00EF02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AE083"/>
  <w15:chartTrackingRefBased/>
  <w15:docId w15:val="{133644B4-E411-4EBD-A666-865AAD8D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813"/>
  </w:style>
  <w:style w:type="paragraph" w:styleId="3">
    <w:name w:val="heading 3"/>
    <w:basedOn w:val="a"/>
    <w:next w:val="a"/>
    <w:link w:val="3Char"/>
    <w:qFormat/>
    <w:rsid w:val="00CE4813"/>
    <w:pPr>
      <w:keepNext/>
      <w:spacing w:before="240" w:after="60" w:line="360" w:lineRule="auto"/>
      <w:jc w:val="both"/>
      <w:outlineLvl w:val="2"/>
    </w:pPr>
    <w:rPr>
      <w:rFonts w:ascii="Arial" w:eastAsia="Times New Roman" w:hAnsi="Arial" w:cs="Arial"/>
      <w:b/>
      <w:bCs/>
      <w:sz w:val="26"/>
      <w:szCs w:val="2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CE4813"/>
    <w:rPr>
      <w:rFonts w:ascii="Arial" w:eastAsia="Times New Roman" w:hAnsi="Arial" w:cs="Arial"/>
      <w:b/>
      <w:bCs/>
      <w:sz w:val="26"/>
      <w:szCs w:val="26"/>
      <w:lang w:eastAsia="el-GR"/>
    </w:rPr>
  </w:style>
  <w:style w:type="paragraph" w:styleId="a3">
    <w:name w:val="List Paragraph"/>
    <w:basedOn w:val="a"/>
    <w:uiPriority w:val="34"/>
    <w:qFormat/>
    <w:rsid w:val="00CE4813"/>
    <w:pPr>
      <w:ind w:left="720"/>
      <w:contextualSpacing/>
    </w:pPr>
  </w:style>
  <w:style w:type="paragraph" w:styleId="Web">
    <w:name w:val="Normal (Web)"/>
    <w:basedOn w:val="a"/>
    <w:rsid w:val="00CE4813"/>
    <w:pPr>
      <w:spacing w:before="30" w:after="30" w:line="240" w:lineRule="auto"/>
      <w:ind w:left="30" w:right="30"/>
    </w:pPr>
    <w:rPr>
      <w:rFonts w:ascii="Arial" w:eastAsia="Arial Unicode MS" w:hAnsi="Arial" w:cs="Arial"/>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1220</Words>
  <Characters>6593</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Markakis</dc:creator>
  <cp:keywords/>
  <dc:description/>
  <cp:lastModifiedBy>Nikos Markakis</cp:lastModifiedBy>
  <cp:revision>3</cp:revision>
  <dcterms:created xsi:type="dcterms:W3CDTF">2024-05-28T07:25:00Z</dcterms:created>
  <dcterms:modified xsi:type="dcterms:W3CDTF">2024-05-28T08:21:00Z</dcterms:modified>
</cp:coreProperties>
</file>