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2AB0D" w14:textId="41A40A2F" w:rsidR="00C918E1" w:rsidRDefault="00C918E1" w:rsidP="00C918E1">
      <w:pPr>
        <w:pStyle w:val="TopicsListing"/>
        <w:numPr>
          <w:ilvl w:val="0"/>
          <w:numId w:val="0"/>
        </w:numPr>
        <w:spacing w:before="0" w:after="0"/>
        <w:jc w:val="center"/>
        <w:rPr>
          <w:rFonts w:eastAsia="Times New Roman" w:cs="Calibri"/>
          <w:sz w:val="28"/>
          <w:szCs w:val="28"/>
          <w:lang w:val="el-GR"/>
        </w:rPr>
      </w:pPr>
      <w:r w:rsidRPr="00C918E1">
        <w:rPr>
          <w:rFonts w:eastAsia="Times New Roman" w:cs="Calibri"/>
          <w:b/>
          <w:bCs/>
          <w:sz w:val="28"/>
          <w:szCs w:val="28"/>
          <w:lang w:val="el-GR"/>
        </w:rPr>
        <w:t>Εικονογραφημένο επεξηγηματικό άρθρο</w:t>
      </w:r>
      <w:r w:rsidRPr="00C918E1">
        <w:rPr>
          <w:rFonts w:eastAsia="Times New Roman" w:cs="Calibri"/>
          <w:sz w:val="28"/>
          <w:szCs w:val="28"/>
          <w:lang w:val="el-GR"/>
        </w:rPr>
        <w:t xml:space="preserve"> σχετικά με τους τομείς της οικονομίας - Αγγλική</w:t>
      </w:r>
    </w:p>
    <w:p w14:paraId="663BE836" w14:textId="77777777" w:rsidR="00C918E1" w:rsidRPr="00C918E1" w:rsidRDefault="00C918E1" w:rsidP="00C918E1">
      <w:pPr>
        <w:pStyle w:val="TopicsListing"/>
        <w:numPr>
          <w:ilvl w:val="0"/>
          <w:numId w:val="0"/>
        </w:numPr>
        <w:spacing w:before="0" w:after="0"/>
        <w:jc w:val="center"/>
        <w:rPr>
          <w:rFonts w:eastAsia="Times New Roman" w:cs="Calibri"/>
          <w:sz w:val="28"/>
          <w:szCs w:val="28"/>
          <w:lang w:val="el-GR"/>
        </w:rPr>
      </w:pPr>
    </w:p>
    <w:p w14:paraId="34AF33B3" w14:textId="441D5E48" w:rsidR="00147765" w:rsidRDefault="00000000" w:rsidP="00C918E1">
      <w:pPr>
        <w:rPr>
          <w:rStyle w:val="-"/>
          <w:sz w:val="28"/>
          <w:szCs w:val="28"/>
        </w:rPr>
      </w:pPr>
      <w:hyperlink r:id="rId5" w:history="1">
        <w:r w:rsidR="00C918E1" w:rsidRPr="00C918E1">
          <w:rPr>
            <w:rStyle w:val="-"/>
            <w:sz w:val="28"/>
            <w:szCs w:val="28"/>
            <w:lang w:val="en-GB"/>
          </w:rPr>
          <w:t>https</w:t>
        </w:r>
        <w:r w:rsidR="00C918E1" w:rsidRPr="00C918E1">
          <w:rPr>
            <w:rStyle w:val="-"/>
            <w:sz w:val="28"/>
            <w:szCs w:val="28"/>
          </w:rPr>
          <w:t>://</w:t>
        </w:r>
        <w:r w:rsidR="00C918E1" w:rsidRPr="00C918E1">
          <w:rPr>
            <w:rStyle w:val="-"/>
            <w:sz w:val="28"/>
            <w:szCs w:val="28"/>
            <w:lang w:val="en-GB"/>
          </w:rPr>
          <w:t>www</w:t>
        </w:r>
        <w:r w:rsidR="00C918E1" w:rsidRPr="00C918E1">
          <w:rPr>
            <w:rStyle w:val="-"/>
            <w:sz w:val="28"/>
            <w:szCs w:val="28"/>
          </w:rPr>
          <w:t>.</w:t>
        </w:r>
        <w:proofErr w:type="spellStart"/>
        <w:r w:rsidR="00C918E1" w:rsidRPr="00C918E1">
          <w:rPr>
            <w:rStyle w:val="-"/>
            <w:sz w:val="28"/>
            <w:szCs w:val="28"/>
            <w:lang w:val="en-GB"/>
          </w:rPr>
          <w:t>economicshelp</w:t>
        </w:r>
        <w:proofErr w:type="spellEnd"/>
        <w:r w:rsidR="00C918E1" w:rsidRPr="00C918E1">
          <w:rPr>
            <w:rStyle w:val="-"/>
            <w:sz w:val="28"/>
            <w:szCs w:val="28"/>
          </w:rPr>
          <w:t>.</w:t>
        </w:r>
        <w:r w:rsidR="00C918E1" w:rsidRPr="00C918E1">
          <w:rPr>
            <w:rStyle w:val="-"/>
            <w:sz w:val="28"/>
            <w:szCs w:val="28"/>
            <w:lang w:val="en-GB"/>
          </w:rPr>
          <w:t>org</w:t>
        </w:r>
        <w:r w:rsidR="00C918E1" w:rsidRPr="00C918E1">
          <w:rPr>
            <w:rStyle w:val="-"/>
            <w:sz w:val="28"/>
            <w:szCs w:val="28"/>
          </w:rPr>
          <w:t>/</w:t>
        </w:r>
        <w:r w:rsidR="00C918E1" w:rsidRPr="00C918E1">
          <w:rPr>
            <w:rStyle w:val="-"/>
            <w:sz w:val="28"/>
            <w:szCs w:val="28"/>
            <w:lang w:val="en-GB"/>
          </w:rPr>
          <w:t>blog</w:t>
        </w:r>
        <w:r w:rsidR="00C918E1" w:rsidRPr="00C918E1">
          <w:rPr>
            <w:rStyle w:val="-"/>
            <w:sz w:val="28"/>
            <w:szCs w:val="28"/>
          </w:rPr>
          <w:t>/12436/</w:t>
        </w:r>
        <w:r w:rsidR="00C918E1" w:rsidRPr="00C918E1">
          <w:rPr>
            <w:rStyle w:val="-"/>
            <w:sz w:val="28"/>
            <w:szCs w:val="28"/>
            <w:lang w:val="en-GB"/>
          </w:rPr>
          <w:t>concepts</w:t>
        </w:r>
        <w:r w:rsidR="00C918E1" w:rsidRPr="00C918E1">
          <w:rPr>
            <w:rStyle w:val="-"/>
            <w:sz w:val="28"/>
            <w:szCs w:val="28"/>
          </w:rPr>
          <w:t>/</w:t>
        </w:r>
        <w:r w:rsidR="00C918E1" w:rsidRPr="00C918E1">
          <w:rPr>
            <w:rStyle w:val="-"/>
            <w:sz w:val="28"/>
            <w:szCs w:val="28"/>
            <w:lang w:val="en-GB"/>
          </w:rPr>
          <w:t>sectors</w:t>
        </w:r>
        <w:r w:rsidR="00C918E1" w:rsidRPr="00C918E1">
          <w:rPr>
            <w:rStyle w:val="-"/>
            <w:sz w:val="28"/>
            <w:szCs w:val="28"/>
          </w:rPr>
          <w:t>-</w:t>
        </w:r>
        <w:r w:rsidR="00C918E1" w:rsidRPr="00C918E1">
          <w:rPr>
            <w:rStyle w:val="-"/>
            <w:sz w:val="28"/>
            <w:szCs w:val="28"/>
            <w:lang w:val="en-GB"/>
          </w:rPr>
          <w:t>economy</w:t>
        </w:r>
        <w:r w:rsidR="00C918E1" w:rsidRPr="00C918E1">
          <w:rPr>
            <w:rStyle w:val="-"/>
            <w:sz w:val="28"/>
            <w:szCs w:val="28"/>
          </w:rPr>
          <w:t>/</w:t>
        </w:r>
      </w:hyperlink>
    </w:p>
    <w:p w14:paraId="35B6CA5F" w14:textId="3238F698" w:rsidR="00AD1E73" w:rsidRDefault="00AD1E73" w:rsidP="00C918E1">
      <w:pPr>
        <w:rPr>
          <w:rStyle w:val="-"/>
          <w:sz w:val="28"/>
          <w:szCs w:val="28"/>
        </w:rPr>
      </w:pPr>
    </w:p>
    <w:p w14:paraId="12218364" w14:textId="780276FB" w:rsidR="00AD1E73" w:rsidRPr="00AD1E73" w:rsidRDefault="009065A5" w:rsidP="00AD1E73">
      <w:pPr>
        <w:spacing w:after="0" w:line="288" w:lineRule="atLeast"/>
        <w:outlineLvl w:val="0"/>
        <w:rPr>
          <w:rFonts w:ascii="inherit" w:eastAsia="Times New Roman" w:hAnsi="inherit"/>
          <w:kern w:val="36"/>
          <w:sz w:val="60"/>
          <w:szCs w:val="60"/>
          <w:lang w:val="en-GB" w:eastAsia="en-GB"/>
        </w:rPr>
      </w:pPr>
      <w:r>
        <w:rPr>
          <w:rFonts w:ascii="inherit" w:eastAsia="Times New Roman" w:hAnsi="inherit"/>
          <w:kern w:val="36"/>
          <w:sz w:val="60"/>
          <w:szCs w:val="60"/>
          <w:lang w:val="en-GB" w:eastAsia="en-GB"/>
        </w:rPr>
        <w:t xml:space="preserve">              </w:t>
      </w:r>
      <w:r w:rsidR="00AD1E73" w:rsidRPr="00AD1E73">
        <w:rPr>
          <w:rFonts w:ascii="inherit" w:eastAsia="Times New Roman" w:hAnsi="inherit"/>
          <w:kern w:val="36"/>
          <w:sz w:val="60"/>
          <w:szCs w:val="60"/>
          <w:lang w:val="en-GB" w:eastAsia="en-GB"/>
        </w:rPr>
        <w:t>Sectors of the economy</w:t>
      </w:r>
    </w:p>
    <w:p w14:paraId="465248FC"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The main sectors of the economy are:</w:t>
      </w:r>
    </w:p>
    <w:p w14:paraId="5DC6B979" w14:textId="77777777" w:rsidR="00AD1E73" w:rsidRPr="009065A5" w:rsidRDefault="00000000" w:rsidP="00AD1E73">
      <w:pPr>
        <w:numPr>
          <w:ilvl w:val="0"/>
          <w:numId w:val="2"/>
        </w:numPr>
        <w:spacing w:after="0" w:line="240" w:lineRule="auto"/>
        <w:ind w:left="1440"/>
        <w:rPr>
          <w:rFonts w:ascii="Open Sans" w:eastAsia="Times New Roman" w:hAnsi="Open Sans" w:cs="Open Sans"/>
          <w:color w:val="3A3A3A"/>
          <w:lang w:val="en-GB" w:eastAsia="en-GB"/>
        </w:rPr>
      </w:pPr>
      <w:hyperlink r:id="rId6" w:tooltip="Primary sector of the economy" w:history="1">
        <w:r w:rsidR="00AD1E73" w:rsidRPr="009065A5">
          <w:rPr>
            <w:rFonts w:ascii="Open Sans" w:eastAsia="Times New Roman" w:hAnsi="Open Sans" w:cs="Open Sans"/>
            <w:b/>
            <w:bCs/>
            <w:color w:val="1E73BE"/>
            <w:u w:val="single"/>
            <w:bdr w:val="none" w:sz="0" w:space="0" w:color="auto" w:frame="1"/>
            <w:lang w:val="en-GB" w:eastAsia="en-GB"/>
          </w:rPr>
          <w:t>Primary sector</w:t>
        </w:r>
      </w:hyperlink>
      <w:r w:rsidR="00AD1E73" w:rsidRPr="009065A5">
        <w:rPr>
          <w:rFonts w:ascii="Open Sans" w:eastAsia="Times New Roman" w:hAnsi="Open Sans" w:cs="Open Sans"/>
          <w:b/>
          <w:bCs/>
          <w:color w:val="3A3A3A"/>
          <w:bdr w:val="none" w:sz="0" w:space="0" w:color="auto" w:frame="1"/>
          <w:lang w:val="en-GB" w:eastAsia="en-GB"/>
        </w:rPr>
        <w:t> </w:t>
      </w:r>
      <w:r w:rsidR="00AD1E73" w:rsidRPr="009065A5">
        <w:rPr>
          <w:rFonts w:ascii="Open Sans" w:eastAsia="Times New Roman" w:hAnsi="Open Sans" w:cs="Open Sans"/>
          <w:color w:val="3A3A3A"/>
          <w:lang w:val="en-GB" w:eastAsia="en-GB"/>
        </w:rPr>
        <w:t xml:space="preserve">– extraction of raw materials – mining, </w:t>
      </w:r>
      <w:proofErr w:type="gramStart"/>
      <w:r w:rsidR="00AD1E73" w:rsidRPr="009065A5">
        <w:rPr>
          <w:rFonts w:ascii="Open Sans" w:eastAsia="Times New Roman" w:hAnsi="Open Sans" w:cs="Open Sans"/>
          <w:color w:val="3A3A3A"/>
          <w:lang w:val="en-GB" w:eastAsia="en-GB"/>
        </w:rPr>
        <w:t>fishing</w:t>
      </w:r>
      <w:proofErr w:type="gramEnd"/>
      <w:r w:rsidR="00AD1E73" w:rsidRPr="009065A5">
        <w:rPr>
          <w:rFonts w:ascii="Open Sans" w:eastAsia="Times New Roman" w:hAnsi="Open Sans" w:cs="Open Sans"/>
          <w:color w:val="3A3A3A"/>
          <w:lang w:val="en-GB" w:eastAsia="en-GB"/>
        </w:rPr>
        <w:t xml:space="preserve"> and agriculture.</w:t>
      </w:r>
    </w:p>
    <w:p w14:paraId="2BC62D33" w14:textId="77777777" w:rsidR="00AD1E73" w:rsidRPr="009065A5" w:rsidRDefault="00000000" w:rsidP="00AD1E73">
      <w:pPr>
        <w:numPr>
          <w:ilvl w:val="0"/>
          <w:numId w:val="2"/>
        </w:numPr>
        <w:spacing w:after="0" w:line="240" w:lineRule="auto"/>
        <w:ind w:left="1440"/>
        <w:rPr>
          <w:rFonts w:ascii="Open Sans" w:eastAsia="Times New Roman" w:hAnsi="Open Sans" w:cs="Open Sans"/>
          <w:color w:val="3A3A3A"/>
          <w:lang w:val="en-GB" w:eastAsia="en-GB"/>
        </w:rPr>
      </w:pPr>
      <w:hyperlink r:id="rId7" w:tooltip="Manufacturing – Secondary sector" w:history="1">
        <w:r w:rsidR="00AD1E73" w:rsidRPr="009065A5">
          <w:rPr>
            <w:rFonts w:ascii="Open Sans" w:eastAsia="Times New Roman" w:hAnsi="Open Sans" w:cs="Open Sans"/>
            <w:b/>
            <w:bCs/>
            <w:color w:val="1E73BE"/>
            <w:u w:val="single"/>
            <w:bdr w:val="none" w:sz="0" w:space="0" w:color="auto" w:frame="1"/>
            <w:lang w:val="en-GB" w:eastAsia="en-GB"/>
          </w:rPr>
          <w:t>Secondary / manufacturing sector</w:t>
        </w:r>
      </w:hyperlink>
      <w:r w:rsidR="00AD1E73" w:rsidRPr="009065A5">
        <w:rPr>
          <w:rFonts w:ascii="Open Sans" w:eastAsia="Times New Roman" w:hAnsi="Open Sans" w:cs="Open Sans"/>
          <w:color w:val="3A3A3A"/>
          <w:lang w:val="en-GB" w:eastAsia="en-GB"/>
        </w:rPr>
        <w:t xml:space="preserve"> – concerned with producing finished goods, </w:t>
      </w:r>
      <w:proofErr w:type="gramStart"/>
      <w:r w:rsidR="00AD1E73" w:rsidRPr="009065A5">
        <w:rPr>
          <w:rFonts w:ascii="Open Sans" w:eastAsia="Times New Roman" w:hAnsi="Open Sans" w:cs="Open Sans"/>
          <w:color w:val="3A3A3A"/>
          <w:lang w:val="en-GB" w:eastAsia="en-GB"/>
        </w:rPr>
        <w:t>e.g.</w:t>
      </w:r>
      <w:proofErr w:type="gramEnd"/>
      <w:r w:rsidR="00AD1E73" w:rsidRPr="009065A5">
        <w:rPr>
          <w:rFonts w:ascii="Open Sans" w:eastAsia="Times New Roman" w:hAnsi="Open Sans" w:cs="Open Sans"/>
          <w:color w:val="3A3A3A"/>
          <w:lang w:val="en-GB" w:eastAsia="en-GB"/>
        </w:rPr>
        <w:t xml:space="preserve"> Construction sector, manufacturing and utilities, e.g. electricity.</w:t>
      </w:r>
    </w:p>
    <w:p w14:paraId="6CC0D9FD" w14:textId="77777777" w:rsidR="00AD1E73" w:rsidRPr="009065A5" w:rsidRDefault="00000000" w:rsidP="00AD1E73">
      <w:pPr>
        <w:numPr>
          <w:ilvl w:val="0"/>
          <w:numId w:val="2"/>
        </w:numPr>
        <w:spacing w:after="0" w:line="240" w:lineRule="auto"/>
        <w:ind w:left="1440"/>
        <w:rPr>
          <w:rFonts w:ascii="Open Sans" w:eastAsia="Times New Roman" w:hAnsi="Open Sans" w:cs="Open Sans"/>
          <w:color w:val="3A3A3A"/>
          <w:lang w:val="en-GB" w:eastAsia="en-GB"/>
        </w:rPr>
      </w:pPr>
      <w:hyperlink r:id="rId8" w:tooltip="Tertiary – Service sector of the economy" w:history="1">
        <w:r w:rsidR="00AD1E73" w:rsidRPr="009065A5">
          <w:rPr>
            <w:rFonts w:ascii="Open Sans" w:eastAsia="Times New Roman" w:hAnsi="Open Sans" w:cs="Open Sans"/>
            <w:b/>
            <w:bCs/>
            <w:color w:val="1E73BE"/>
            <w:u w:val="single"/>
            <w:bdr w:val="none" w:sz="0" w:space="0" w:color="auto" w:frame="1"/>
            <w:lang w:val="en-GB" w:eastAsia="en-GB"/>
          </w:rPr>
          <w:t>Service / ‘tertiary’ sector</w:t>
        </w:r>
      </w:hyperlink>
      <w:r w:rsidR="00AD1E73" w:rsidRPr="009065A5">
        <w:rPr>
          <w:rFonts w:ascii="Open Sans" w:eastAsia="Times New Roman" w:hAnsi="Open Sans" w:cs="Open Sans"/>
          <w:color w:val="3A3A3A"/>
          <w:lang w:val="en-GB" w:eastAsia="en-GB"/>
        </w:rPr>
        <w:t> </w:t>
      </w:r>
      <w:proofErr w:type="gramStart"/>
      <w:r w:rsidR="00AD1E73" w:rsidRPr="009065A5">
        <w:rPr>
          <w:rFonts w:ascii="Open Sans" w:eastAsia="Times New Roman" w:hAnsi="Open Sans" w:cs="Open Sans"/>
          <w:color w:val="3A3A3A"/>
          <w:lang w:val="en-GB" w:eastAsia="en-GB"/>
        </w:rPr>
        <w:t>–  concerned</w:t>
      </w:r>
      <w:proofErr w:type="gramEnd"/>
      <w:r w:rsidR="00AD1E73" w:rsidRPr="009065A5">
        <w:rPr>
          <w:rFonts w:ascii="Open Sans" w:eastAsia="Times New Roman" w:hAnsi="Open Sans" w:cs="Open Sans"/>
          <w:color w:val="3A3A3A"/>
          <w:lang w:val="en-GB" w:eastAsia="en-GB"/>
        </w:rPr>
        <w:t xml:space="preserve"> with offering intangible goods and services to consumers. This includes retail, tourism, banking, entertainment </w:t>
      </w:r>
      <w:proofErr w:type="gramStart"/>
      <w:r w:rsidR="00AD1E73" w:rsidRPr="009065A5">
        <w:rPr>
          <w:rFonts w:ascii="Open Sans" w:eastAsia="Times New Roman" w:hAnsi="Open Sans" w:cs="Open Sans"/>
          <w:color w:val="3A3A3A"/>
          <w:lang w:val="en-GB" w:eastAsia="en-GB"/>
        </w:rPr>
        <w:t>and  I.T.</w:t>
      </w:r>
      <w:proofErr w:type="gramEnd"/>
      <w:r w:rsidR="00AD1E73" w:rsidRPr="009065A5">
        <w:rPr>
          <w:rFonts w:ascii="Open Sans" w:eastAsia="Times New Roman" w:hAnsi="Open Sans" w:cs="Open Sans"/>
          <w:color w:val="3A3A3A"/>
          <w:lang w:val="en-GB" w:eastAsia="en-GB"/>
        </w:rPr>
        <w:t xml:space="preserve"> services.</w:t>
      </w:r>
    </w:p>
    <w:p w14:paraId="3D779E4B" w14:textId="77777777" w:rsidR="00AD1E73" w:rsidRDefault="00AD1E73" w:rsidP="00AD1E73">
      <w:pPr>
        <w:numPr>
          <w:ilvl w:val="0"/>
          <w:numId w:val="2"/>
        </w:numPr>
        <w:spacing w:after="0" w:line="240" w:lineRule="auto"/>
        <w:ind w:left="1440"/>
        <w:rPr>
          <w:rFonts w:ascii="Open Sans" w:eastAsia="Times New Roman" w:hAnsi="Open Sans" w:cs="Open Sans"/>
          <w:color w:val="3A3A3A"/>
          <w:lang w:val="en-GB" w:eastAsia="en-GB"/>
        </w:rPr>
      </w:pPr>
      <w:r w:rsidRPr="009065A5">
        <w:rPr>
          <w:rFonts w:ascii="Open Sans" w:eastAsia="Times New Roman" w:hAnsi="Open Sans" w:cs="Open Sans"/>
          <w:b/>
          <w:bCs/>
          <w:color w:val="3A3A3A"/>
          <w:bdr w:val="none" w:sz="0" w:space="0" w:color="auto" w:frame="1"/>
          <w:lang w:val="en-GB" w:eastAsia="en-GB"/>
        </w:rPr>
        <w:t>Quaternary sector</w:t>
      </w:r>
      <w:r w:rsidRPr="009065A5">
        <w:rPr>
          <w:rFonts w:ascii="Open Sans" w:eastAsia="Times New Roman" w:hAnsi="Open Sans" w:cs="Open Sans"/>
          <w:color w:val="3A3A3A"/>
          <w:lang w:val="en-GB" w:eastAsia="en-GB"/>
        </w:rPr>
        <w:t xml:space="preserve"> (knowledge economy, education, </w:t>
      </w:r>
      <w:proofErr w:type="gramStart"/>
      <w:r w:rsidRPr="009065A5">
        <w:rPr>
          <w:rFonts w:ascii="Open Sans" w:eastAsia="Times New Roman" w:hAnsi="Open Sans" w:cs="Open Sans"/>
          <w:color w:val="3A3A3A"/>
          <w:lang w:val="en-GB" w:eastAsia="en-GB"/>
        </w:rPr>
        <w:t>research</w:t>
      </w:r>
      <w:proofErr w:type="gramEnd"/>
      <w:r w:rsidRPr="009065A5">
        <w:rPr>
          <w:rFonts w:ascii="Open Sans" w:eastAsia="Times New Roman" w:hAnsi="Open Sans" w:cs="Open Sans"/>
          <w:color w:val="3A3A3A"/>
          <w:lang w:val="en-GB" w:eastAsia="en-GB"/>
        </w:rPr>
        <w:t xml:space="preserve"> and development)</w:t>
      </w:r>
    </w:p>
    <w:p w14:paraId="1C4EFD79" w14:textId="77777777" w:rsidR="009065A5" w:rsidRPr="009065A5" w:rsidRDefault="009065A5" w:rsidP="009065A5">
      <w:pPr>
        <w:spacing w:after="0" w:line="240" w:lineRule="auto"/>
        <w:ind w:left="1440"/>
        <w:rPr>
          <w:rFonts w:ascii="Open Sans" w:eastAsia="Times New Roman" w:hAnsi="Open Sans" w:cs="Open Sans"/>
          <w:color w:val="3A3A3A"/>
          <w:lang w:val="en-GB" w:eastAsia="en-GB"/>
        </w:rPr>
      </w:pPr>
    </w:p>
    <w:p w14:paraId="310085EE" w14:textId="77777777" w:rsidR="00AD1E73" w:rsidRPr="00AD1E73" w:rsidRDefault="00AD1E73" w:rsidP="009065A5">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noProof/>
          <w:color w:val="1E73BE"/>
          <w:sz w:val="26"/>
          <w:szCs w:val="26"/>
          <w:bdr w:val="none" w:sz="0" w:space="0" w:color="auto" w:frame="1"/>
          <w:lang w:val="en-GB" w:eastAsia="en-GB"/>
        </w:rPr>
        <w:drawing>
          <wp:inline distT="0" distB="0" distL="0" distR="0" wp14:anchorId="345771AE" wp14:editId="2BB59C07">
            <wp:extent cx="5417314" cy="4010608"/>
            <wp:effectExtent l="0" t="0" r="0" b="9525"/>
            <wp:docPr id="1" name="Picture 1" descr="sectors-of-the-econom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tors-of-the-economy">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2204" cy="4014229"/>
                    </a:xfrm>
                    <a:prstGeom prst="rect">
                      <a:avLst/>
                    </a:prstGeom>
                    <a:noFill/>
                    <a:ln>
                      <a:noFill/>
                    </a:ln>
                  </pic:spPr>
                </pic:pic>
              </a:graphicData>
            </a:graphic>
          </wp:inline>
        </w:drawing>
      </w:r>
    </w:p>
    <w:p w14:paraId="7C1EB766" w14:textId="77777777" w:rsidR="00AD1E73" w:rsidRPr="00AD1E73" w:rsidRDefault="00000000" w:rsidP="00AD1E73">
      <w:pPr>
        <w:spacing w:before="600" w:after="600" w:line="240" w:lineRule="auto"/>
        <w:rPr>
          <w:rFonts w:ascii="Open Sans" w:eastAsia="Times New Roman" w:hAnsi="Open Sans" w:cs="Open Sans"/>
          <w:color w:val="3A3A3A"/>
          <w:sz w:val="26"/>
          <w:szCs w:val="26"/>
          <w:lang w:val="en-GB" w:eastAsia="en-GB"/>
        </w:rPr>
      </w:pPr>
      <w:r>
        <w:rPr>
          <w:rFonts w:ascii="Open Sans" w:eastAsia="Times New Roman" w:hAnsi="Open Sans" w:cs="Open Sans"/>
          <w:color w:val="3A3A3A"/>
          <w:sz w:val="26"/>
          <w:szCs w:val="26"/>
          <w:lang w:val="en-GB" w:eastAsia="en-GB"/>
        </w:rPr>
        <w:lastRenderedPageBreak/>
        <w:pict w14:anchorId="5EB62C18">
          <v:rect id="_x0000_i1025" style="width:0;height:.75pt" o:hralign="center" o:hrstd="t" o:hr="t" fillcolor="#a0a0a0" stroked="f"/>
        </w:pict>
      </w:r>
    </w:p>
    <w:p w14:paraId="416ED03F" w14:textId="77777777" w:rsidR="00AD1E73" w:rsidRPr="00AD1E73" w:rsidRDefault="00AD1E73" w:rsidP="00AD1E73">
      <w:pPr>
        <w:spacing w:after="300" w:line="288" w:lineRule="atLeast"/>
        <w:outlineLvl w:val="2"/>
        <w:rPr>
          <w:rFonts w:ascii="inherit" w:eastAsia="Times New Roman" w:hAnsi="inherit" w:cs="Open Sans"/>
          <w:b/>
          <w:bCs/>
          <w:color w:val="2B7ABF"/>
          <w:sz w:val="27"/>
          <w:szCs w:val="27"/>
          <w:lang w:val="en-GB" w:eastAsia="en-GB"/>
        </w:rPr>
      </w:pPr>
      <w:r w:rsidRPr="00AD1E73">
        <w:rPr>
          <w:rFonts w:ascii="inherit" w:eastAsia="Times New Roman" w:hAnsi="inherit" w:cs="Open Sans"/>
          <w:b/>
          <w:bCs/>
          <w:color w:val="2B7ABF"/>
          <w:sz w:val="27"/>
          <w:szCs w:val="27"/>
          <w:lang w:val="en-GB" w:eastAsia="en-GB"/>
        </w:rPr>
        <w:t>Video on different sectors of economy</w:t>
      </w:r>
    </w:p>
    <w:p w14:paraId="5337D508"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w:t>
      </w:r>
    </w:p>
    <w:p w14:paraId="1FF46D13" w14:textId="77777777" w:rsidR="00AD1E73" w:rsidRPr="00AD1E73" w:rsidRDefault="00AD1E73" w:rsidP="00AD1E73">
      <w:pPr>
        <w:spacing w:after="300" w:line="288" w:lineRule="atLeast"/>
        <w:outlineLvl w:val="2"/>
        <w:rPr>
          <w:rFonts w:ascii="inherit" w:eastAsia="Times New Roman" w:hAnsi="inherit" w:cs="Open Sans"/>
          <w:b/>
          <w:bCs/>
          <w:color w:val="2B7ABF"/>
          <w:sz w:val="27"/>
          <w:szCs w:val="27"/>
          <w:lang w:val="en-GB" w:eastAsia="en-GB"/>
        </w:rPr>
      </w:pPr>
      <w:r w:rsidRPr="00AD1E73">
        <w:rPr>
          <w:rFonts w:ascii="inherit" w:eastAsia="Times New Roman" w:hAnsi="inherit" w:cs="Open Sans"/>
          <w:b/>
          <w:bCs/>
          <w:color w:val="2B7ABF"/>
          <w:sz w:val="27"/>
          <w:szCs w:val="27"/>
          <w:lang w:val="en-GB" w:eastAsia="en-GB"/>
        </w:rPr>
        <w:t>Primary sector</w:t>
      </w:r>
    </w:p>
    <w:p w14:paraId="7F092B38"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The </w:t>
      </w:r>
      <w:hyperlink r:id="rId11" w:history="1">
        <w:r w:rsidRPr="00AD1E73">
          <w:rPr>
            <w:rFonts w:ascii="Open Sans" w:eastAsia="Times New Roman" w:hAnsi="Open Sans" w:cs="Open Sans"/>
            <w:color w:val="1E73BE"/>
            <w:sz w:val="26"/>
            <w:szCs w:val="26"/>
            <w:u w:val="single"/>
            <w:bdr w:val="none" w:sz="0" w:space="0" w:color="auto" w:frame="1"/>
            <w:lang w:val="en-GB" w:eastAsia="en-GB"/>
          </w:rPr>
          <w:t>primary sector</w:t>
        </w:r>
      </w:hyperlink>
      <w:r w:rsidRPr="00AD1E73">
        <w:rPr>
          <w:rFonts w:ascii="Open Sans" w:eastAsia="Times New Roman" w:hAnsi="Open Sans" w:cs="Open Sans"/>
          <w:color w:val="3A3A3A"/>
          <w:sz w:val="26"/>
          <w:szCs w:val="26"/>
          <w:lang w:val="en-GB" w:eastAsia="en-GB"/>
        </w:rPr>
        <w:t xml:space="preserve"> is sometimes known as the extraction sector – because it involves taking raw materials. These can be renewable resources, such as fish, </w:t>
      </w:r>
      <w:proofErr w:type="gramStart"/>
      <w:r w:rsidRPr="00AD1E73">
        <w:rPr>
          <w:rFonts w:ascii="Open Sans" w:eastAsia="Times New Roman" w:hAnsi="Open Sans" w:cs="Open Sans"/>
          <w:color w:val="3A3A3A"/>
          <w:sz w:val="26"/>
          <w:szCs w:val="26"/>
          <w:lang w:val="en-GB" w:eastAsia="en-GB"/>
        </w:rPr>
        <w:t>wool</w:t>
      </w:r>
      <w:proofErr w:type="gramEnd"/>
      <w:r w:rsidRPr="00AD1E73">
        <w:rPr>
          <w:rFonts w:ascii="Open Sans" w:eastAsia="Times New Roman" w:hAnsi="Open Sans" w:cs="Open Sans"/>
          <w:color w:val="3A3A3A"/>
          <w:sz w:val="26"/>
          <w:szCs w:val="26"/>
          <w:lang w:val="en-GB" w:eastAsia="en-GB"/>
        </w:rPr>
        <w:t xml:space="preserve"> and wind power. Or it can be the use of non-renewable resources, such as oil extraction, and mining for coal. Examples include:</w:t>
      </w:r>
    </w:p>
    <w:p w14:paraId="1DCC01D3" w14:textId="77777777" w:rsidR="00AD1E73" w:rsidRPr="00AD1E73" w:rsidRDefault="00AD1E73" w:rsidP="00AD1E73">
      <w:pPr>
        <w:numPr>
          <w:ilvl w:val="0"/>
          <w:numId w:val="3"/>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Mining, farming, fishing.</w:t>
      </w:r>
    </w:p>
    <w:p w14:paraId="366EC682"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noProof/>
          <w:color w:val="3A3A3A"/>
          <w:sz w:val="26"/>
          <w:szCs w:val="26"/>
          <w:lang w:val="en-GB" w:eastAsia="en-GB"/>
        </w:rPr>
        <w:drawing>
          <wp:inline distT="0" distB="0" distL="0" distR="0" wp14:anchorId="313CC706" wp14:editId="03ABF332">
            <wp:extent cx="5715000" cy="3362325"/>
            <wp:effectExtent l="0" t="0" r="0" b="9525"/>
            <wp:docPr id="3" name="Picture 3" descr="700-tractor-agriculture-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00-tractor-agriculture-farm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362325"/>
                    </a:xfrm>
                    <a:prstGeom prst="rect">
                      <a:avLst/>
                    </a:prstGeom>
                    <a:noFill/>
                    <a:ln>
                      <a:noFill/>
                    </a:ln>
                  </pic:spPr>
                </pic:pic>
              </a:graphicData>
            </a:graphic>
          </wp:inline>
        </w:drawing>
      </w:r>
    </w:p>
    <w:p w14:paraId="52C22E4F"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In developing economies, the primary sectors </w:t>
      </w:r>
      <w:proofErr w:type="gramStart"/>
      <w:r w:rsidRPr="00AD1E73">
        <w:rPr>
          <w:rFonts w:ascii="Open Sans" w:eastAsia="Times New Roman" w:hAnsi="Open Sans" w:cs="Open Sans"/>
          <w:color w:val="3A3A3A"/>
          <w:sz w:val="26"/>
          <w:szCs w:val="26"/>
          <w:lang w:val="en-GB" w:eastAsia="en-GB"/>
        </w:rPr>
        <w:t>tends</w:t>
      </w:r>
      <w:proofErr w:type="gramEnd"/>
      <w:r w:rsidRPr="00AD1E73">
        <w:rPr>
          <w:rFonts w:ascii="Open Sans" w:eastAsia="Times New Roman" w:hAnsi="Open Sans" w:cs="Open Sans"/>
          <w:color w:val="3A3A3A"/>
          <w:sz w:val="26"/>
          <w:szCs w:val="26"/>
          <w:lang w:val="en-GB" w:eastAsia="en-GB"/>
        </w:rPr>
        <w:t xml:space="preserve"> to take a big share with many employed in agriculture and mining. In the 1920s, over one million people were employed in the UK coal industry. It was a key part of the economy. However, improved technology and the growth of other energy sources has seen a dramatic decline in this primary sector industry.</w:t>
      </w:r>
    </w:p>
    <w:p w14:paraId="7E7778AB"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b/>
          <w:bCs/>
          <w:color w:val="3A3A3A"/>
          <w:sz w:val="26"/>
          <w:szCs w:val="26"/>
          <w:bdr w:val="none" w:sz="0" w:space="0" w:color="auto" w:frame="1"/>
          <w:lang w:val="en-GB" w:eastAsia="en-GB"/>
        </w:rPr>
        <w:t>Secondary sector</w:t>
      </w:r>
    </w:p>
    <w:p w14:paraId="485D2E82"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The secondary sector makes and distributes finished goods.</w:t>
      </w:r>
    </w:p>
    <w:p w14:paraId="39CE0AC4" w14:textId="77777777" w:rsidR="00AD1E73" w:rsidRPr="00AD1E73" w:rsidRDefault="00AD1E73" w:rsidP="00AD1E73">
      <w:pPr>
        <w:numPr>
          <w:ilvl w:val="0"/>
          <w:numId w:val="4"/>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lastRenderedPageBreak/>
        <w:t xml:space="preserve">Manufacturing – </w:t>
      </w:r>
      <w:proofErr w:type="spellStart"/>
      <w:proofErr w:type="gramStart"/>
      <w:r w:rsidRPr="00AD1E73">
        <w:rPr>
          <w:rFonts w:ascii="Open Sans" w:eastAsia="Times New Roman" w:hAnsi="Open Sans" w:cs="Open Sans"/>
          <w:color w:val="3A3A3A"/>
          <w:sz w:val="26"/>
          <w:szCs w:val="26"/>
          <w:lang w:val="en-GB" w:eastAsia="en-GB"/>
        </w:rPr>
        <w:t>e.,g</w:t>
      </w:r>
      <w:proofErr w:type="spellEnd"/>
      <w:proofErr w:type="gramEnd"/>
      <w:r w:rsidRPr="00AD1E73">
        <w:rPr>
          <w:rFonts w:ascii="Open Sans" w:eastAsia="Times New Roman" w:hAnsi="Open Sans" w:cs="Open Sans"/>
          <w:color w:val="3A3A3A"/>
          <w:sz w:val="26"/>
          <w:szCs w:val="26"/>
          <w:lang w:val="en-GB" w:eastAsia="en-GB"/>
        </w:rPr>
        <w:t xml:space="preserve"> producing cars from aluminium.</w:t>
      </w:r>
    </w:p>
    <w:p w14:paraId="307FDD5E" w14:textId="77777777" w:rsidR="00AD1E73" w:rsidRPr="00AD1E73" w:rsidRDefault="00AD1E73" w:rsidP="00AD1E73">
      <w:pPr>
        <w:numPr>
          <w:ilvl w:val="0"/>
          <w:numId w:val="4"/>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Construction – building homes, </w:t>
      </w:r>
      <w:proofErr w:type="gramStart"/>
      <w:r w:rsidRPr="00AD1E73">
        <w:rPr>
          <w:rFonts w:ascii="Open Sans" w:eastAsia="Times New Roman" w:hAnsi="Open Sans" w:cs="Open Sans"/>
          <w:color w:val="3A3A3A"/>
          <w:sz w:val="26"/>
          <w:szCs w:val="26"/>
          <w:lang w:val="en-GB" w:eastAsia="en-GB"/>
        </w:rPr>
        <w:t>factories</w:t>
      </w:r>
      <w:proofErr w:type="gramEnd"/>
    </w:p>
    <w:p w14:paraId="345C22A9" w14:textId="77777777" w:rsidR="00AD1E73" w:rsidRPr="00AD1E73" w:rsidRDefault="00AD1E73" w:rsidP="00AD1E73">
      <w:pPr>
        <w:numPr>
          <w:ilvl w:val="0"/>
          <w:numId w:val="4"/>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Utilities – providing goods like electricity, gas and telephones to </w:t>
      </w:r>
      <w:proofErr w:type="gramStart"/>
      <w:r w:rsidRPr="00AD1E73">
        <w:rPr>
          <w:rFonts w:ascii="Open Sans" w:eastAsia="Times New Roman" w:hAnsi="Open Sans" w:cs="Open Sans"/>
          <w:color w:val="3A3A3A"/>
          <w:sz w:val="26"/>
          <w:szCs w:val="26"/>
          <w:lang w:val="en-GB" w:eastAsia="en-GB"/>
        </w:rPr>
        <w:t>households</w:t>
      </w:r>
      <w:proofErr w:type="gramEnd"/>
    </w:p>
    <w:p w14:paraId="4DAA7A1F"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The manufacturing industry takes raw materials and combines them to produce a higher </w:t>
      </w:r>
      <w:proofErr w:type="gramStart"/>
      <w:r w:rsidRPr="00AD1E73">
        <w:rPr>
          <w:rFonts w:ascii="Open Sans" w:eastAsia="Times New Roman" w:hAnsi="Open Sans" w:cs="Open Sans"/>
          <w:color w:val="3A3A3A"/>
          <w:sz w:val="26"/>
          <w:szCs w:val="26"/>
          <w:lang w:val="en-GB" w:eastAsia="en-GB"/>
        </w:rPr>
        <w:t>value added</w:t>
      </w:r>
      <w:proofErr w:type="gramEnd"/>
      <w:r w:rsidRPr="00AD1E73">
        <w:rPr>
          <w:rFonts w:ascii="Open Sans" w:eastAsia="Times New Roman" w:hAnsi="Open Sans" w:cs="Open Sans"/>
          <w:color w:val="3A3A3A"/>
          <w:sz w:val="26"/>
          <w:szCs w:val="26"/>
          <w:lang w:val="en-GB" w:eastAsia="en-GB"/>
        </w:rPr>
        <w:t xml:space="preserve"> finished product. For example, raw sheep wool can be spun to form a ball of </w:t>
      </w:r>
      <w:proofErr w:type="gramStart"/>
      <w:r w:rsidRPr="00AD1E73">
        <w:rPr>
          <w:rFonts w:ascii="Open Sans" w:eastAsia="Times New Roman" w:hAnsi="Open Sans" w:cs="Open Sans"/>
          <w:color w:val="3A3A3A"/>
          <w:sz w:val="26"/>
          <w:szCs w:val="26"/>
          <w:lang w:val="en-GB" w:eastAsia="en-GB"/>
        </w:rPr>
        <w:t>better quality</w:t>
      </w:r>
      <w:proofErr w:type="gramEnd"/>
      <w:r w:rsidRPr="00AD1E73">
        <w:rPr>
          <w:rFonts w:ascii="Open Sans" w:eastAsia="Times New Roman" w:hAnsi="Open Sans" w:cs="Open Sans"/>
          <w:color w:val="3A3A3A"/>
          <w:sz w:val="26"/>
          <w:szCs w:val="26"/>
          <w:lang w:val="en-GB" w:eastAsia="en-GB"/>
        </w:rPr>
        <w:t xml:space="preserve"> wool. This wool can then be threaded and knitted to produce a jumper that can be worn.</w:t>
      </w:r>
    </w:p>
    <w:p w14:paraId="201BD11A"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noProof/>
          <w:color w:val="3A3A3A"/>
          <w:sz w:val="26"/>
          <w:szCs w:val="26"/>
          <w:lang w:val="en-GB" w:eastAsia="en-GB"/>
        </w:rPr>
        <w:drawing>
          <wp:inline distT="0" distB="0" distL="0" distR="0" wp14:anchorId="769D799C" wp14:editId="124F5B92">
            <wp:extent cx="4762500" cy="2809875"/>
            <wp:effectExtent l="0" t="0" r="0" b="9525"/>
            <wp:docPr id="4" name="Picture 4" descr="saltaire-mill-factory-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ltaire-mill-factory-riv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809875"/>
                    </a:xfrm>
                    <a:prstGeom prst="rect">
                      <a:avLst/>
                    </a:prstGeom>
                    <a:noFill/>
                    <a:ln>
                      <a:noFill/>
                    </a:ln>
                  </pic:spPr>
                </pic:pic>
              </a:graphicData>
            </a:graphic>
          </wp:inline>
        </w:drawing>
      </w:r>
      <w:proofErr w:type="spellStart"/>
      <w:r w:rsidRPr="00AD1E73">
        <w:rPr>
          <w:rFonts w:ascii="Open Sans" w:eastAsia="Times New Roman" w:hAnsi="Open Sans" w:cs="Open Sans"/>
          <w:color w:val="3A3A3A"/>
          <w:sz w:val="26"/>
          <w:szCs w:val="26"/>
          <w:lang w:val="en-GB" w:eastAsia="en-GB"/>
        </w:rPr>
        <w:t>Saltaire</w:t>
      </w:r>
      <w:proofErr w:type="spellEnd"/>
      <w:r w:rsidRPr="00AD1E73">
        <w:rPr>
          <w:rFonts w:ascii="Open Sans" w:eastAsia="Times New Roman" w:hAnsi="Open Sans" w:cs="Open Sans"/>
          <w:color w:val="3A3A3A"/>
          <w:sz w:val="26"/>
          <w:szCs w:val="26"/>
          <w:lang w:val="en-GB" w:eastAsia="en-GB"/>
        </w:rPr>
        <w:t xml:space="preserve"> factor by the </w:t>
      </w:r>
      <w:proofErr w:type="gramStart"/>
      <w:r w:rsidRPr="00AD1E73">
        <w:rPr>
          <w:rFonts w:ascii="Open Sans" w:eastAsia="Times New Roman" w:hAnsi="Open Sans" w:cs="Open Sans"/>
          <w:color w:val="3A3A3A"/>
          <w:sz w:val="26"/>
          <w:szCs w:val="26"/>
          <w:lang w:val="en-GB" w:eastAsia="en-GB"/>
        </w:rPr>
        <w:t>River</w:t>
      </w:r>
      <w:proofErr w:type="gramEnd"/>
      <w:r w:rsidRPr="00AD1E73">
        <w:rPr>
          <w:rFonts w:ascii="Open Sans" w:eastAsia="Times New Roman" w:hAnsi="Open Sans" w:cs="Open Sans"/>
          <w:color w:val="3A3A3A"/>
          <w:sz w:val="26"/>
          <w:szCs w:val="26"/>
          <w:lang w:val="en-GB" w:eastAsia="en-GB"/>
        </w:rPr>
        <w:t xml:space="preserve"> Aire. Built by Sir Titus Salt. This was a successful mill for producing ‘alpaca </w:t>
      </w:r>
      <w:proofErr w:type="gramStart"/>
      <w:r w:rsidRPr="00AD1E73">
        <w:rPr>
          <w:rFonts w:ascii="Open Sans" w:eastAsia="Times New Roman" w:hAnsi="Open Sans" w:cs="Open Sans"/>
          <w:color w:val="3A3A3A"/>
          <w:sz w:val="26"/>
          <w:szCs w:val="26"/>
          <w:lang w:val="en-GB" w:eastAsia="en-GB"/>
        </w:rPr>
        <w:t>wool’</w:t>
      </w:r>
      <w:proofErr w:type="gramEnd"/>
    </w:p>
    <w:p w14:paraId="6631A41D"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Initially, the manufacturing industry was based on labour-intensive ‘cottage industry’ </w:t>
      </w:r>
      <w:proofErr w:type="gramStart"/>
      <w:r w:rsidRPr="00AD1E73">
        <w:rPr>
          <w:rFonts w:ascii="Open Sans" w:eastAsia="Times New Roman" w:hAnsi="Open Sans" w:cs="Open Sans"/>
          <w:color w:val="3A3A3A"/>
          <w:sz w:val="26"/>
          <w:szCs w:val="26"/>
          <w:lang w:val="en-GB" w:eastAsia="en-GB"/>
        </w:rPr>
        <w:t>e.g.</w:t>
      </w:r>
      <w:proofErr w:type="gramEnd"/>
      <w:r w:rsidRPr="00AD1E73">
        <w:rPr>
          <w:rFonts w:ascii="Open Sans" w:eastAsia="Times New Roman" w:hAnsi="Open Sans" w:cs="Open Sans"/>
          <w:color w:val="3A3A3A"/>
          <w:sz w:val="26"/>
          <w:szCs w:val="26"/>
          <w:lang w:val="en-GB" w:eastAsia="en-GB"/>
        </w:rPr>
        <w:t xml:space="preserve"> hand spinning. However, the development of improved technology, such as spinning machines, enabled the growth of larger factories. Benefiting from economies of scale, they were able to reduce the cost of production and increase labour productivity. The higher labour productivity also enabled higher wages and more income to spend on goods and services.</w:t>
      </w:r>
    </w:p>
    <w:p w14:paraId="1971EC4A"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More on: </w:t>
      </w:r>
      <w:hyperlink r:id="rId14" w:tooltip="Manufacturing – Secondary sector" w:history="1">
        <w:r w:rsidRPr="00AD1E73">
          <w:rPr>
            <w:rFonts w:ascii="Open Sans" w:eastAsia="Times New Roman" w:hAnsi="Open Sans" w:cs="Open Sans"/>
            <w:color w:val="1E73BE"/>
            <w:sz w:val="26"/>
            <w:szCs w:val="26"/>
            <w:u w:val="single"/>
            <w:bdr w:val="none" w:sz="0" w:space="0" w:color="auto" w:frame="1"/>
            <w:lang w:val="en-GB" w:eastAsia="en-GB"/>
          </w:rPr>
          <w:t>manufacturing sector</w:t>
        </w:r>
      </w:hyperlink>
    </w:p>
    <w:p w14:paraId="4282A11C" w14:textId="77777777" w:rsidR="00AD1E73" w:rsidRPr="00AD1E73" w:rsidRDefault="00AD1E73" w:rsidP="00AD1E73">
      <w:pPr>
        <w:spacing w:after="300" w:line="288" w:lineRule="atLeast"/>
        <w:outlineLvl w:val="2"/>
        <w:rPr>
          <w:rFonts w:ascii="inherit" w:eastAsia="Times New Roman" w:hAnsi="inherit" w:cs="Open Sans"/>
          <w:b/>
          <w:bCs/>
          <w:color w:val="2B7ABF"/>
          <w:sz w:val="27"/>
          <w:szCs w:val="27"/>
          <w:lang w:val="en-GB" w:eastAsia="en-GB"/>
        </w:rPr>
      </w:pPr>
      <w:r w:rsidRPr="00AD1E73">
        <w:rPr>
          <w:rFonts w:ascii="inherit" w:eastAsia="Times New Roman" w:hAnsi="inherit" w:cs="Open Sans"/>
          <w:b/>
          <w:bCs/>
          <w:color w:val="2B7ABF"/>
          <w:sz w:val="27"/>
          <w:szCs w:val="27"/>
          <w:lang w:val="en-GB" w:eastAsia="en-GB"/>
        </w:rPr>
        <w:t>Service / tertiary sector</w:t>
      </w:r>
    </w:p>
    <w:p w14:paraId="286B7AED"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The service sector </w:t>
      </w:r>
      <w:proofErr w:type="gramStart"/>
      <w:r w:rsidRPr="00AD1E73">
        <w:rPr>
          <w:rFonts w:ascii="Open Sans" w:eastAsia="Times New Roman" w:hAnsi="Open Sans" w:cs="Open Sans"/>
          <w:color w:val="3A3A3A"/>
          <w:sz w:val="26"/>
          <w:szCs w:val="26"/>
          <w:lang w:val="en-GB" w:eastAsia="en-GB"/>
        </w:rPr>
        <w:t>includes</w:t>
      </w:r>
      <w:proofErr w:type="gramEnd"/>
    </w:p>
    <w:p w14:paraId="3E57A213" w14:textId="77777777" w:rsidR="00AD1E73" w:rsidRPr="00AD1E73" w:rsidRDefault="00AD1E73" w:rsidP="00AD1E73">
      <w:pPr>
        <w:numPr>
          <w:ilvl w:val="0"/>
          <w:numId w:val="5"/>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Retail</w:t>
      </w:r>
    </w:p>
    <w:p w14:paraId="42F193C9" w14:textId="77777777" w:rsidR="00AD1E73" w:rsidRPr="00AD1E73" w:rsidRDefault="00AD1E73" w:rsidP="00AD1E73">
      <w:pPr>
        <w:numPr>
          <w:ilvl w:val="0"/>
          <w:numId w:val="5"/>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Financial services – Insurance, investment</w:t>
      </w:r>
    </w:p>
    <w:p w14:paraId="48BF5A8A" w14:textId="77777777" w:rsidR="00AD1E73" w:rsidRPr="00AD1E73" w:rsidRDefault="00AD1E73" w:rsidP="00AD1E73">
      <w:pPr>
        <w:numPr>
          <w:ilvl w:val="0"/>
          <w:numId w:val="5"/>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lastRenderedPageBreak/>
        <w:t>Leisure and hospitality</w:t>
      </w:r>
    </w:p>
    <w:p w14:paraId="700135C6" w14:textId="77777777" w:rsidR="00AD1E73" w:rsidRPr="00AD1E73" w:rsidRDefault="00AD1E73" w:rsidP="00AD1E73">
      <w:pPr>
        <w:numPr>
          <w:ilvl w:val="0"/>
          <w:numId w:val="5"/>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Communication</w:t>
      </w:r>
    </w:p>
    <w:p w14:paraId="7978DE5E" w14:textId="77777777" w:rsidR="00AD1E73" w:rsidRPr="00AD1E73" w:rsidRDefault="00AD1E73" w:rsidP="00AD1E73">
      <w:pPr>
        <w:numPr>
          <w:ilvl w:val="0"/>
          <w:numId w:val="5"/>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IT</w:t>
      </w:r>
    </w:p>
    <w:p w14:paraId="2CF7BCA7" w14:textId="77777777" w:rsidR="00AD1E73" w:rsidRPr="00AD1E73" w:rsidRDefault="00AD1E73" w:rsidP="00AD1E73">
      <w:pPr>
        <w:numPr>
          <w:ilvl w:val="0"/>
          <w:numId w:val="5"/>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Transportation</w:t>
      </w:r>
    </w:p>
    <w:p w14:paraId="370D19ED"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The service sector is concerned with the intangible aspect of offering services to consumers and business. It involves retail of manufactured goods. It also provides services, such as insurance and banking. In the twentieth century, the service sector has grown due to improved labour productivity and higher disposable income. More disposable income enables more spending on ‘luxury’ service items, such as tourism and restaurants.</w:t>
      </w:r>
    </w:p>
    <w:p w14:paraId="0CA868FA"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More on: </w:t>
      </w:r>
      <w:hyperlink r:id="rId15" w:tooltip="Tertiary – Service sector of the economy" w:history="1">
        <w:r w:rsidRPr="00AD1E73">
          <w:rPr>
            <w:rFonts w:ascii="Open Sans" w:eastAsia="Times New Roman" w:hAnsi="Open Sans" w:cs="Open Sans"/>
            <w:color w:val="1E73BE"/>
            <w:sz w:val="26"/>
            <w:szCs w:val="26"/>
            <w:u w:val="single"/>
            <w:bdr w:val="none" w:sz="0" w:space="0" w:color="auto" w:frame="1"/>
            <w:lang w:val="en-GB" w:eastAsia="en-GB"/>
          </w:rPr>
          <w:t>Reasons for the growth of the service sector</w:t>
        </w:r>
      </w:hyperlink>
    </w:p>
    <w:p w14:paraId="33CFE410" w14:textId="77777777" w:rsidR="00AD1E73" w:rsidRPr="00AD1E73" w:rsidRDefault="00AD1E73" w:rsidP="00AD1E73">
      <w:pPr>
        <w:spacing w:after="300" w:line="288" w:lineRule="atLeast"/>
        <w:outlineLvl w:val="2"/>
        <w:rPr>
          <w:rFonts w:ascii="inherit" w:eastAsia="Times New Roman" w:hAnsi="inherit" w:cs="Open Sans"/>
          <w:b/>
          <w:bCs/>
          <w:color w:val="2B7ABF"/>
          <w:sz w:val="27"/>
          <w:szCs w:val="27"/>
          <w:lang w:val="en-GB" w:eastAsia="en-GB"/>
        </w:rPr>
      </w:pPr>
      <w:r w:rsidRPr="00AD1E73">
        <w:rPr>
          <w:rFonts w:ascii="inherit" w:eastAsia="Times New Roman" w:hAnsi="inherit" w:cs="Open Sans"/>
          <w:b/>
          <w:bCs/>
          <w:color w:val="2B7ABF"/>
          <w:sz w:val="27"/>
          <w:szCs w:val="27"/>
          <w:lang w:val="en-GB" w:eastAsia="en-GB"/>
        </w:rPr>
        <w:t>Quaternary/knowledge sector</w:t>
      </w:r>
    </w:p>
    <w:p w14:paraId="496CF7DA" w14:textId="77777777" w:rsidR="00AD1E73" w:rsidRPr="00AD1E73" w:rsidRDefault="00AD1E73" w:rsidP="00AD1E73">
      <w:pPr>
        <w:numPr>
          <w:ilvl w:val="0"/>
          <w:numId w:val="6"/>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Education</w:t>
      </w:r>
    </w:p>
    <w:p w14:paraId="746D4F51" w14:textId="77777777" w:rsidR="00AD1E73" w:rsidRPr="00AD1E73" w:rsidRDefault="00AD1E73" w:rsidP="00AD1E73">
      <w:pPr>
        <w:numPr>
          <w:ilvl w:val="0"/>
          <w:numId w:val="6"/>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Research and development</w:t>
      </w:r>
    </w:p>
    <w:p w14:paraId="2088D090" w14:textId="77777777" w:rsidR="00AD1E73" w:rsidRPr="00AD1E73" w:rsidRDefault="00AD1E73" w:rsidP="00AD1E73">
      <w:pPr>
        <w:numPr>
          <w:ilvl w:val="0"/>
          <w:numId w:val="6"/>
        </w:numPr>
        <w:spacing w:after="0" w:line="240" w:lineRule="auto"/>
        <w:ind w:left="1440"/>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Public sector bodies</w:t>
      </w:r>
    </w:p>
    <w:p w14:paraId="3BB5DAC9"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The quaternary sector is said to the intellectual aspect of the economy. It includes education, training, the development of technology, and research and development. It is the process which enables entrepreneurs to innovate better manufacturing processes and improve the quality of services offered in the economy. Without this growth of technology and information, economic development would be slow or non-existent.</w:t>
      </w:r>
    </w:p>
    <w:p w14:paraId="4A972CE2"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It is also known as the </w:t>
      </w:r>
      <w:hyperlink r:id="rId16" w:history="1">
        <w:r w:rsidRPr="00AD1E73">
          <w:rPr>
            <w:rFonts w:ascii="Open Sans" w:eastAsia="Times New Roman" w:hAnsi="Open Sans" w:cs="Open Sans"/>
            <w:color w:val="1E73BE"/>
            <w:sz w:val="26"/>
            <w:szCs w:val="26"/>
            <w:u w:val="single"/>
            <w:bdr w:val="none" w:sz="0" w:space="0" w:color="auto" w:frame="1"/>
            <w:lang w:val="en-GB" w:eastAsia="en-GB"/>
          </w:rPr>
          <w:t>knowledge economy</w:t>
        </w:r>
      </w:hyperlink>
      <w:r w:rsidRPr="00AD1E73">
        <w:rPr>
          <w:rFonts w:ascii="Open Sans" w:eastAsia="Times New Roman" w:hAnsi="Open Sans" w:cs="Open Sans"/>
          <w:color w:val="3A3A3A"/>
          <w:sz w:val="26"/>
          <w:szCs w:val="26"/>
          <w:lang w:val="en-GB" w:eastAsia="en-GB"/>
        </w:rPr>
        <w:t xml:space="preserve"> – this is the component of the economy based on human capital – IT, knowledge, education. It is primarily related to the service sector, but also is related to the </w:t>
      </w:r>
      <w:proofErr w:type="gramStart"/>
      <w:r w:rsidRPr="00AD1E73">
        <w:rPr>
          <w:rFonts w:ascii="Open Sans" w:eastAsia="Times New Roman" w:hAnsi="Open Sans" w:cs="Open Sans"/>
          <w:color w:val="3A3A3A"/>
          <w:sz w:val="26"/>
          <w:szCs w:val="26"/>
          <w:lang w:val="en-GB" w:eastAsia="en-GB"/>
        </w:rPr>
        <w:t>high tech</w:t>
      </w:r>
      <w:proofErr w:type="gramEnd"/>
      <w:r w:rsidRPr="00AD1E73">
        <w:rPr>
          <w:rFonts w:ascii="Open Sans" w:eastAsia="Times New Roman" w:hAnsi="Open Sans" w:cs="Open Sans"/>
          <w:color w:val="3A3A3A"/>
          <w:sz w:val="26"/>
          <w:szCs w:val="26"/>
          <w:lang w:val="en-GB" w:eastAsia="en-GB"/>
        </w:rPr>
        <w:t xml:space="preserve"> component of manufacturing.</w:t>
      </w:r>
    </w:p>
    <w:p w14:paraId="24A1A81B"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b/>
          <w:bCs/>
          <w:color w:val="3A3A3A"/>
          <w:sz w:val="26"/>
          <w:szCs w:val="26"/>
          <w:bdr w:val="none" w:sz="0" w:space="0" w:color="auto" w:frame="1"/>
          <w:lang w:val="en-GB" w:eastAsia="en-GB"/>
        </w:rPr>
        <w:t xml:space="preserve">Change in the importance of different </w:t>
      </w:r>
      <w:proofErr w:type="gramStart"/>
      <w:r w:rsidRPr="00AD1E73">
        <w:rPr>
          <w:rFonts w:ascii="Open Sans" w:eastAsia="Times New Roman" w:hAnsi="Open Sans" w:cs="Open Sans"/>
          <w:b/>
          <w:bCs/>
          <w:color w:val="3A3A3A"/>
          <w:sz w:val="26"/>
          <w:szCs w:val="26"/>
          <w:bdr w:val="none" w:sz="0" w:space="0" w:color="auto" w:frame="1"/>
          <w:lang w:val="en-GB" w:eastAsia="en-GB"/>
        </w:rPr>
        <w:t>sectors</w:t>
      </w:r>
      <w:proofErr w:type="gramEnd"/>
    </w:p>
    <w:p w14:paraId="68BACAA7"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A primitive economy will primarily be based on the primary sector – with most people employed in agriculture and the production of food.</w:t>
      </w:r>
    </w:p>
    <w:p w14:paraId="60FD675F"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As an economy develops, improved technology enables less labour to be needed in the primary sector and allows more workers to produce manufactured goods. Further development enables the growth of the service sector and leisure activities.</w:t>
      </w:r>
    </w:p>
    <w:p w14:paraId="74738744"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b/>
          <w:bCs/>
          <w:color w:val="3A3A3A"/>
          <w:sz w:val="26"/>
          <w:szCs w:val="26"/>
          <w:bdr w:val="none" w:sz="0" w:space="0" w:color="auto" w:frame="1"/>
          <w:lang w:val="en-GB" w:eastAsia="en-GB"/>
        </w:rPr>
        <w:t xml:space="preserve">Change in UK </w:t>
      </w:r>
      <w:proofErr w:type="gramStart"/>
      <w:r w:rsidRPr="00AD1E73">
        <w:rPr>
          <w:rFonts w:ascii="Open Sans" w:eastAsia="Times New Roman" w:hAnsi="Open Sans" w:cs="Open Sans"/>
          <w:b/>
          <w:bCs/>
          <w:color w:val="3A3A3A"/>
          <w:sz w:val="26"/>
          <w:szCs w:val="26"/>
          <w:bdr w:val="none" w:sz="0" w:space="0" w:color="auto" w:frame="1"/>
          <w:lang w:val="en-GB" w:eastAsia="en-GB"/>
        </w:rPr>
        <w:t>economy</w:t>
      </w:r>
      <w:proofErr w:type="gramEnd"/>
    </w:p>
    <w:p w14:paraId="0F194127"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noProof/>
          <w:color w:val="3A3A3A"/>
          <w:sz w:val="26"/>
          <w:szCs w:val="26"/>
          <w:lang w:val="en-GB" w:eastAsia="en-GB"/>
        </w:rPr>
        <w:lastRenderedPageBreak/>
        <w:drawing>
          <wp:inline distT="0" distB="0" distL="0" distR="0" wp14:anchorId="0978BA4C" wp14:editId="778FA94F">
            <wp:extent cx="4762500" cy="3124200"/>
            <wp:effectExtent l="0" t="0" r="0" b="0"/>
            <wp:docPr id="5" name="Picture 5" descr="manufacturing share of 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ufacturing share of gd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3124200"/>
                    </a:xfrm>
                    <a:prstGeom prst="rect">
                      <a:avLst/>
                    </a:prstGeom>
                    <a:noFill/>
                    <a:ln>
                      <a:noFill/>
                    </a:ln>
                  </pic:spPr>
                </pic:pic>
              </a:graphicData>
            </a:graphic>
          </wp:inline>
        </w:drawing>
      </w:r>
    </w:p>
    <w:p w14:paraId="56E53BF9" w14:textId="77777777" w:rsidR="00AD1E73" w:rsidRPr="00AD1E73" w:rsidRDefault="00000000" w:rsidP="00AD1E73">
      <w:pPr>
        <w:spacing w:after="0" w:line="240" w:lineRule="auto"/>
        <w:jc w:val="center"/>
        <w:rPr>
          <w:rFonts w:ascii="Open Sans" w:eastAsia="Times New Roman" w:hAnsi="Open Sans" w:cs="Open Sans"/>
          <w:color w:val="3A3A3A"/>
          <w:sz w:val="26"/>
          <w:szCs w:val="26"/>
          <w:lang w:val="en-GB" w:eastAsia="en-GB"/>
        </w:rPr>
      </w:pPr>
      <w:hyperlink r:id="rId18" w:history="1">
        <w:r w:rsidR="00AD1E73" w:rsidRPr="00AD1E73">
          <w:rPr>
            <w:rFonts w:ascii="Open Sans" w:eastAsia="Times New Roman" w:hAnsi="Open Sans" w:cs="Open Sans"/>
            <w:color w:val="1E73BE"/>
            <w:sz w:val="26"/>
            <w:szCs w:val="26"/>
            <w:u w:val="single"/>
            <w:bdr w:val="none" w:sz="0" w:space="0" w:color="auto" w:frame="1"/>
            <w:lang w:val="en-GB" w:eastAsia="en-GB"/>
          </w:rPr>
          <w:t>Relative decline of UK manufacturing</w:t>
        </w:r>
      </w:hyperlink>
    </w:p>
    <w:p w14:paraId="333AB240"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w:t>
      </w:r>
    </w:p>
    <w:p w14:paraId="6DD4FF37" w14:textId="77777777" w:rsidR="00AD1E73" w:rsidRPr="00AD1E73" w:rsidRDefault="00000000" w:rsidP="00AD1E73">
      <w:pPr>
        <w:spacing w:before="600" w:after="600" w:line="240" w:lineRule="auto"/>
        <w:rPr>
          <w:rFonts w:ascii="Open Sans" w:eastAsia="Times New Roman" w:hAnsi="Open Sans" w:cs="Open Sans"/>
          <w:color w:val="3A3A3A"/>
          <w:sz w:val="26"/>
          <w:szCs w:val="26"/>
          <w:lang w:val="en-GB" w:eastAsia="en-GB"/>
        </w:rPr>
      </w:pPr>
      <w:r>
        <w:rPr>
          <w:rFonts w:ascii="Open Sans" w:eastAsia="Times New Roman" w:hAnsi="Open Sans" w:cs="Open Sans"/>
          <w:color w:val="3A3A3A"/>
          <w:sz w:val="26"/>
          <w:szCs w:val="26"/>
          <w:lang w:val="en-GB" w:eastAsia="en-GB"/>
        </w:rPr>
        <w:pict w14:anchorId="0DC67920">
          <v:rect id="_x0000_i1026" style="width:0;height:.75pt" o:hralign="center" o:hrstd="t" o:hr="t" fillcolor="#a0a0a0" stroked="f"/>
        </w:pict>
      </w:r>
    </w:p>
    <w:p w14:paraId="1F4FC324" w14:textId="77777777" w:rsidR="00AD1E73" w:rsidRPr="00AD1E73" w:rsidRDefault="00AD1E73" w:rsidP="00AD1E73">
      <w:pPr>
        <w:spacing w:after="300" w:line="288" w:lineRule="atLeast"/>
        <w:outlineLvl w:val="1"/>
        <w:rPr>
          <w:rFonts w:ascii="inherit" w:eastAsia="Times New Roman" w:hAnsi="inherit" w:cs="Open Sans"/>
          <w:color w:val="145C93"/>
          <w:sz w:val="45"/>
          <w:szCs w:val="45"/>
          <w:lang w:val="en-GB" w:eastAsia="en-GB"/>
        </w:rPr>
      </w:pPr>
      <w:r w:rsidRPr="00AD1E73">
        <w:rPr>
          <w:rFonts w:ascii="inherit" w:eastAsia="Times New Roman" w:hAnsi="inherit" w:cs="Open Sans"/>
          <w:color w:val="145C93"/>
          <w:sz w:val="45"/>
          <w:szCs w:val="45"/>
          <w:lang w:val="en-GB" w:eastAsia="en-GB"/>
        </w:rPr>
        <w:t>Other sectors of the economy</w:t>
      </w:r>
    </w:p>
    <w:p w14:paraId="51FDEDC1" w14:textId="77777777" w:rsidR="00AD1E73" w:rsidRPr="00AD1E73" w:rsidRDefault="00AD1E73" w:rsidP="00AD1E73">
      <w:pPr>
        <w:spacing w:after="300" w:line="288" w:lineRule="atLeast"/>
        <w:outlineLvl w:val="2"/>
        <w:rPr>
          <w:rFonts w:ascii="inherit" w:eastAsia="Times New Roman" w:hAnsi="inherit" w:cs="Open Sans"/>
          <w:b/>
          <w:bCs/>
          <w:color w:val="2B7ABF"/>
          <w:sz w:val="27"/>
          <w:szCs w:val="27"/>
          <w:lang w:val="en-GB" w:eastAsia="en-GB"/>
        </w:rPr>
      </w:pPr>
      <w:r w:rsidRPr="00AD1E73">
        <w:rPr>
          <w:rFonts w:ascii="inherit" w:eastAsia="Times New Roman" w:hAnsi="inherit" w:cs="Open Sans"/>
          <w:b/>
          <w:bCs/>
          <w:color w:val="2B7ABF"/>
          <w:sz w:val="27"/>
          <w:szCs w:val="27"/>
          <w:lang w:val="en-GB" w:eastAsia="en-GB"/>
        </w:rPr>
        <w:t>Quinary sector</w:t>
      </w:r>
    </w:p>
    <w:p w14:paraId="1596EF5D"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The quinary sector is the part of the economy where the top-level decisions are made. This includes the government which passes legislation. It also comprises the top decision-makers in industry, commerce </w:t>
      </w:r>
      <w:proofErr w:type="gramStart"/>
      <w:r w:rsidRPr="00AD1E73">
        <w:rPr>
          <w:rFonts w:ascii="Open Sans" w:eastAsia="Times New Roman" w:hAnsi="Open Sans" w:cs="Open Sans"/>
          <w:color w:val="3A3A3A"/>
          <w:sz w:val="26"/>
          <w:szCs w:val="26"/>
          <w:lang w:val="en-GB" w:eastAsia="en-GB"/>
        </w:rPr>
        <w:t>and also</w:t>
      </w:r>
      <w:proofErr w:type="gramEnd"/>
      <w:r w:rsidRPr="00AD1E73">
        <w:rPr>
          <w:rFonts w:ascii="Open Sans" w:eastAsia="Times New Roman" w:hAnsi="Open Sans" w:cs="Open Sans"/>
          <w:color w:val="3A3A3A"/>
          <w:sz w:val="26"/>
          <w:szCs w:val="26"/>
          <w:lang w:val="en-GB" w:eastAsia="en-GB"/>
        </w:rPr>
        <w:t xml:space="preserve"> the education sector.</w:t>
      </w:r>
    </w:p>
    <w:p w14:paraId="5A698BFD" w14:textId="77777777" w:rsidR="00AD1E73" w:rsidRPr="00AD1E73" w:rsidRDefault="00AD1E73" w:rsidP="00AD1E73">
      <w:pPr>
        <w:spacing w:after="0" w:line="264" w:lineRule="atLeast"/>
        <w:outlineLvl w:val="3"/>
        <w:rPr>
          <w:rFonts w:ascii="inherit" w:eastAsia="Times New Roman" w:hAnsi="inherit" w:cs="Open Sans"/>
          <w:b/>
          <w:bCs/>
          <w:color w:val="006AA8"/>
          <w:sz w:val="24"/>
          <w:szCs w:val="24"/>
          <w:lang w:val="en-GB" w:eastAsia="en-GB"/>
        </w:rPr>
      </w:pPr>
      <w:r w:rsidRPr="00AD1E73">
        <w:rPr>
          <w:rFonts w:ascii="inherit" w:eastAsia="Times New Roman" w:hAnsi="inherit" w:cs="Open Sans"/>
          <w:b/>
          <w:bCs/>
          <w:color w:val="006AA8"/>
          <w:sz w:val="24"/>
          <w:szCs w:val="24"/>
          <w:bdr w:val="none" w:sz="0" w:space="0" w:color="auto" w:frame="1"/>
          <w:lang w:val="en-GB" w:eastAsia="en-GB"/>
        </w:rPr>
        <w:t>Public vs Private sector</w:t>
      </w:r>
    </w:p>
    <w:p w14:paraId="1E2C5482"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Another division is between the public sector – government and the private sector – free market, </w:t>
      </w:r>
      <w:proofErr w:type="gramStart"/>
      <w:r w:rsidRPr="00AD1E73">
        <w:rPr>
          <w:rFonts w:ascii="Open Sans" w:eastAsia="Times New Roman" w:hAnsi="Open Sans" w:cs="Open Sans"/>
          <w:color w:val="3A3A3A"/>
          <w:sz w:val="26"/>
          <w:szCs w:val="26"/>
          <w:lang w:val="en-GB" w:eastAsia="en-GB"/>
        </w:rPr>
        <w:t>individuals</w:t>
      </w:r>
      <w:proofErr w:type="gramEnd"/>
      <w:r w:rsidRPr="00AD1E73">
        <w:rPr>
          <w:rFonts w:ascii="Open Sans" w:eastAsia="Times New Roman" w:hAnsi="Open Sans" w:cs="Open Sans"/>
          <w:color w:val="3A3A3A"/>
          <w:sz w:val="26"/>
          <w:szCs w:val="26"/>
          <w:lang w:val="en-GB" w:eastAsia="en-GB"/>
        </w:rPr>
        <w:t xml:space="preserve"> and business.</w:t>
      </w:r>
    </w:p>
    <w:p w14:paraId="25B2D2C6"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The government is primarily concerned with services, such as health and education. However, the government could own key industries, such as coal mines were once nationalised in the UK. See: </w:t>
      </w:r>
      <w:hyperlink r:id="rId19" w:history="1">
        <w:r w:rsidRPr="00AD1E73">
          <w:rPr>
            <w:rFonts w:ascii="Open Sans" w:eastAsia="Times New Roman" w:hAnsi="Open Sans" w:cs="Open Sans"/>
            <w:color w:val="1E73BE"/>
            <w:sz w:val="26"/>
            <w:szCs w:val="26"/>
            <w:u w:val="single"/>
            <w:bdr w:val="none" w:sz="0" w:space="0" w:color="auto" w:frame="1"/>
            <w:lang w:val="en-GB" w:eastAsia="en-GB"/>
          </w:rPr>
          <w:t>public vs private sector</w:t>
        </w:r>
      </w:hyperlink>
    </w:p>
    <w:p w14:paraId="584CBDB6" w14:textId="77777777" w:rsidR="00AD1E73" w:rsidRPr="00AD1E73" w:rsidRDefault="00AD1E73" w:rsidP="00AD1E73">
      <w:pPr>
        <w:spacing w:after="300" w:line="288" w:lineRule="atLeast"/>
        <w:outlineLvl w:val="2"/>
        <w:rPr>
          <w:rFonts w:ascii="inherit" w:eastAsia="Times New Roman" w:hAnsi="inherit" w:cs="Open Sans"/>
          <w:b/>
          <w:bCs/>
          <w:color w:val="2B7ABF"/>
          <w:sz w:val="27"/>
          <w:szCs w:val="27"/>
          <w:lang w:val="en-GB" w:eastAsia="en-GB"/>
        </w:rPr>
      </w:pPr>
      <w:r w:rsidRPr="00AD1E73">
        <w:rPr>
          <w:rFonts w:ascii="inherit" w:eastAsia="Times New Roman" w:hAnsi="inherit" w:cs="Open Sans"/>
          <w:b/>
          <w:bCs/>
          <w:color w:val="2B7ABF"/>
          <w:sz w:val="27"/>
          <w:szCs w:val="27"/>
          <w:lang w:val="en-GB" w:eastAsia="en-GB"/>
        </w:rPr>
        <w:t>Digital vs Traditional economy</w:t>
      </w:r>
    </w:p>
    <w:p w14:paraId="1316C969"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noProof/>
          <w:color w:val="1E73BE"/>
          <w:sz w:val="26"/>
          <w:szCs w:val="26"/>
          <w:bdr w:val="none" w:sz="0" w:space="0" w:color="auto" w:frame="1"/>
          <w:lang w:val="en-GB" w:eastAsia="en-GB"/>
        </w:rPr>
        <w:lastRenderedPageBreak/>
        <w:drawing>
          <wp:inline distT="0" distB="0" distL="0" distR="0" wp14:anchorId="5D5F2246" wp14:editId="7453C5AC">
            <wp:extent cx="6124575" cy="4077242"/>
            <wp:effectExtent l="0" t="0" r="0" b="0"/>
            <wp:docPr id="7" name="Picture 7" descr="traditional-vs-digital">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ditional-vs-digital">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3942" cy="4083478"/>
                    </a:xfrm>
                    <a:prstGeom prst="rect">
                      <a:avLst/>
                    </a:prstGeom>
                    <a:noFill/>
                    <a:ln>
                      <a:noFill/>
                    </a:ln>
                  </pic:spPr>
                </pic:pic>
              </a:graphicData>
            </a:graphic>
          </wp:inline>
        </w:drawing>
      </w:r>
    </w:p>
    <w:p w14:paraId="6C396FE6" w14:textId="77777777" w:rsidR="00AD1E73" w:rsidRPr="00AD1E73" w:rsidRDefault="00AD1E73" w:rsidP="00AD1E73">
      <w:pPr>
        <w:spacing w:after="36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 xml:space="preserve">Another division is between the traditional sector – bricks and mortar shops and the digital economy – online sales. In practice, there is an overlap between the sectors, </w:t>
      </w:r>
      <w:proofErr w:type="gramStart"/>
      <w:r w:rsidRPr="00AD1E73">
        <w:rPr>
          <w:rFonts w:ascii="Open Sans" w:eastAsia="Times New Roman" w:hAnsi="Open Sans" w:cs="Open Sans"/>
          <w:color w:val="3A3A3A"/>
          <w:sz w:val="26"/>
          <w:szCs w:val="26"/>
          <w:lang w:val="en-GB" w:eastAsia="en-GB"/>
        </w:rPr>
        <w:t>e.g.</w:t>
      </w:r>
      <w:proofErr w:type="gramEnd"/>
      <w:r w:rsidRPr="00AD1E73">
        <w:rPr>
          <w:rFonts w:ascii="Open Sans" w:eastAsia="Times New Roman" w:hAnsi="Open Sans" w:cs="Open Sans"/>
          <w:color w:val="3A3A3A"/>
          <w:sz w:val="26"/>
          <w:szCs w:val="26"/>
          <w:lang w:val="en-GB" w:eastAsia="en-GB"/>
        </w:rPr>
        <w:t xml:space="preserve"> Traditional shops have embraced aspects of the digital economy, such as online sales.</w:t>
      </w:r>
    </w:p>
    <w:p w14:paraId="7286B194" w14:textId="77777777" w:rsidR="00AD1E73" w:rsidRPr="00AD1E73" w:rsidRDefault="00AD1E73" w:rsidP="00AD1E73">
      <w:pPr>
        <w:spacing w:after="0" w:line="240" w:lineRule="auto"/>
        <w:rPr>
          <w:rFonts w:ascii="Open Sans" w:eastAsia="Times New Roman" w:hAnsi="Open Sans" w:cs="Open Sans"/>
          <w:color w:val="3A3A3A"/>
          <w:sz w:val="26"/>
          <w:szCs w:val="26"/>
          <w:lang w:val="en-GB" w:eastAsia="en-GB"/>
        </w:rPr>
      </w:pPr>
      <w:r w:rsidRPr="00AD1E73">
        <w:rPr>
          <w:rFonts w:ascii="Open Sans" w:eastAsia="Times New Roman" w:hAnsi="Open Sans" w:cs="Open Sans"/>
          <w:color w:val="3A3A3A"/>
          <w:sz w:val="26"/>
          <w:szCs w:val="26"/>
          <w:lang w:val="en-GB" w:eastAsia="en-GB"/>
        </w:rPr>
        <w:t>However, the </w:t>
      </w:r>
      <w:hyperlink r:id="rId22" w:history="1">
        <w:r w:rsidRPr="00AD1E73">
          <w:rPr>
            <w:rFonts w:ascii="Open Sans" w:eastAsia="Times New Roman" w:hAnsi="Open Sans" w:cs="Open Sans"/>
            <w:color w:val="1E73BE"/>
            <w:sz w:val="26"/>
            <w:szCs w:val="26"/>
            <w:u w:val="single"/>
            <w:bdr w:val="none" w:sz="0" w:space="0" w:color="auto" w:frame="1"/>
            <w:lang w:val="en-GB" w:eastAsia="en-GB"/>
          </w:rPr>
          <w:t>digital part</w:t>
        </w:r>
      </w:hyperlink>
      <w:r w:rsidRPr="00AD1E73">
        <w:rPr>
          <w:rFonts w:ascii="Open Sans" w:eastAsia="Times New Roman" w:hAnsi="Open Sans" w:cs="Open Sans"/>
          <w:color w:val="3A3A3A"/>
          <w:sz w:val="26"/>
          <w:szCs w:val="26"/>
          <w:lang w:val="en-GB" w:eastAsia="en-GB"/>
        </w:rPr>
        <w:t> of the economy is becoming more pronounced with some businesses no longer having a physical presence on high street, but providing intangibles goods and services, such as Netflix.</w:t>
      </w:r>
    </w:p>
    <w:p w14:paraId="4E5905BA" w14:textId="77777777" w:rsidR="00AD1E73" w:rsidRPr="00AD1E73" w:rsidRDefault="00AD1E73" w:rsidP="00C918E1">
      <w:pPr>
        <w:rPr>
          <w:lang w:val="en-GB"/>
        </w:rPr>
      </w:pPr>
    </w:p>
    <w:sectPr w:rsidR="00AD1E73" w:rsidRPr="00AD1E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FDD"/>
    <w:multiLevelType w:val="multilevel"/>
    <w:tmpl w:val="200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C81095"/>
    <w:multiLevelType w:val="multilevel"/>
    <w:tmpl w:val="B232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784AA7"/>
    <w:multiLevelType w:val="multilevel"/>
    <w:tmpl w:val="4AB2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D30905"/>
    <w:multiLevelType w:val="multilevel"/>
    <w:tmpl w:val="848C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793FFA"/>
    <w:multiLevelType w:val="multilevel"/>
    <w:tmpl w:val="4BF0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1157F0"/>
    <w:multiLevelType w:val="hybridMultilevel"/>
    <w:tmpl w:val="BB7E5B3A"/>
    <w:lvl w:ilvl="0" w:tplc="C70A4676">
      <w:start w:val="1"/>
      <w:numFmt w:val="bullet"/>
      <w:pStyle w:val="TopicsListing"/>
      <w:lvlText w:val=""/>
      <w:lvlJc w:val="left"/>
      <w:pPr>
        <w:ind w:left="-8" w:hanging="360"/>
      </w:pPr>
      <w:rPr>
        <w:rFonts w:ascii="Wingdings" w:hAnsi="Wingdings" w:hint="default"/>
      </w:rPr>
    </w:lvl>
    <w:lvl w:ilvl="1" w:tplc="08090003">
      <w:start w:val="1"/>
      <w:numFmt w:val="bullet"/>
      <w:lvlText w:val="o"/>
      <w:lvlJc w:val="left"/>
      <w:pPr>
        <w:ind w:left="930" w:hanging="360"/>
      </w:pPr>
      <w:rPr>
        <w:rFonts w:ascii="Courier New" w:hAnsi="Courier New" w:cs="Courier New" w:hint="default"/>
      </w:rPr>
    </w:lvl>
    <w:lvl w:ilvl="2" w:tplc="08090005">
      <w:start w:val="1"/>
      <w:numFmt w:val="bullet"/>
      <w:lvlText w:val=""/>
      <w:lvlJc w:val="left"/>
      <w:pPr>
        <w:ind w:left="1650" w:hanging="360"/>
      </w:pPr>
      <w:rPr>
        <w:rFonts w:ascii="Wingdings" w:hAnsi="Wingdings" w:hint="default"/>
      </w:rPr>
    </w:lvl>
    <w:lvl w:ilvl="3" w:tplc="08090001">
      <w:start w:val="1"/>
      <w:numFmt w:val="bullet"/>
      <w:lvlText w:val=""/>
      <w:lvlJc w:val="left"/>
      <w:pPr>
        <w:ind w:left="2370" w:hanging="360"/>
      </w:pPr>
      <w:rPr>
        <w:rFonts w:ascii="Symbol" w:hAnsi="Symbol" w:hint="default"/>
      </w:rPr>
    </w:lvl>
    <w:lvl w:ilvl="4" w:tplc="08090003">
      <w:start w:val="1"/>
      <w:numFmt w:val="bullet"/>
      <w:lvlText w:val="o"/>
      <w:lvlJc w:val="left"/>
      <w:pPr>
        <w:ind w:left="3090" w:hanging="360"/>
      </w:pPr>
      <w:rPr>
        <w:rFonts w:ascii="Courier New" w:hAnsi="Courier New" w:cs="Courier New" w:hint="default"/>
      </w:rPr>
    </w:lvl>
    <w:lvl w:ilvl="5" w:tplc="08090005">
      <w:start w:val="1"/>
      <w:numFmt w:val="bullet"/>
      <w:lvlText w:val=""/>
      <w:lvlJc w:val="left"/>
      <w:pPr>
        <w:ind w:left="3810" w:hanging="360"/>
      </w:pPr>
      <w:rPr>
        <w:rFonts w:ascii="Wingdings" w:hAnsi="Wingdings" w:hint="default"/>
      </w:rPr>
    </w:lvl>
    <w:lvl w:ilvl="6" w:tplc="08090001">
      <w:start w:val="1"/>
      <w:numFmt w:val="bullet"/>
      <w:lvlText w:val=""/>
      <w:lvlJc w:val="left"/>
      <w:pPr>
        <w:ind w:left="4530" w:hanging="360"/>
      </w:pPr>
      <w:rPr>
        <w:rFonts w:ascii="Symbol" w:hAnsi="Symbol" w:hint="default"/>
      </w:rPr>
    </w:lvl>
    <w:lvl w:ilvl="7" w:tplc="08090003">
      <w:start w:val="1"/>
      <w:numFmt w:val="bullet"/>
      <w:lvlText w:val="o"/>
      <w:lvlJc w:val="left"/>
      <w:pPr>
        <w:ind w:left="5250" w:hanging="360"/>
      </w:pPr>
      <w:rPr>
        <w:rFonts w:ascii="Courier New" w:hAnsi="Courier New" w:cs="Courier New" w:hint="default"/>
      </w:rPr>
    </w:lvl>
    <w:lvl w:ilvl="8" w:tplc="08090005">
      <w:start w:val="1"/>
      <w:numFmt w:val="bullet"/>
      <w:lvlText w:val=""/>
      <w:lvlJc w:val="left"/>
      <w:pPr>
        <w:ind w:left="5970" w:hanging="360"/>
      </w:pPr>
      <w:rPr>
        <w:rFonts w:ascii="Wingdings" w:hAnsi="Wingdings" w:hint="default"/>
      </w:rPr>
    </w:lvl>
  </w:abstractNum>
  <w:num w:numId="1" w16cid:durableId="395975643">
    <w:abstractNumId w:val="5"/>
  </w:num>
  <w:num w:numId="2" w16cid:durableId="211430447">
    <w:abstractNumId w:val="2"/>
  </w:num>
  <w:num w:numId="3" w16cid:durableId="838886748">
    <w:abstractNumId w:val="4"/>
  </w:num>
  <w:num w:numId="4" w16cid:durableId="1222061754">
    <w:abstractNumId w:val="3"/>
  </w:num>
  <w:num w:numId="5" w16cid:durableId="1349331590">
    <w:abstractNumId w:val="0"/>
  </w:num>
  <w:num w:numId="6" w16cid:durableId="27541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E1"/>
    <w:rsid w:val="00147765"/>
    <w:rsid w:val="009065A5"/>
    <w:rsid w:val="00AD1E73"/>
    <w:rsid w:val="00C91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B7805"/>
  <w15:chartTrackingRefBased/>
  <w15:docId w15:val="{999ECF1C-DBBF-474F-A256-FFB1557D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8E1"/>
    <w:pPr>
      <w:spacing w:after="200" w:line="276" w:lineRule="auto"/>
    </w:pPr>
    <w:rPr>
      <w:rFonts w:ascii="Calibri" w:eastAsia="Calibri" w:hAnsi="Calibri" w:cs="Times New Roman"/>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C918E1"/>
    <w:rPr>
      <w:color w:val="0000FF"/>
      <w:u w:val="single"/>
    </w:rPr>
  </w:style>
  <w:style w:type="character" w:customStyle="1" w:styleId="TopicsListingChar">
    <w:name w:val="Topics Listing Char"/>
    <w:link w:val="TopicsListing"/>
    <w:locked/>
    <w:rsid w:val="00C918E1"/>
    <w:rPr>
      <w:sz w:val="24"/>
      <w:szCs w:val="24"/>
      <w:lang w:val="en-US" w:eastAsia="ar-SA"/>
    </w:rPr>
  </w:style>
  <w:style w:type="paragraph" w:customStyle="1" w:styleId="TopicsListing">
    <w:name w:val="Topics Listing"/>
    <w:basedOn w:val="a"/>
    <w:link w:val="TopicsListingChar"/>
    <w:qFormat/>
    <w:rsid w:val="00C918E1"/>
    <w:pPr>
      <w:numPr>
        <w:numId w:val="1"/>
      </w:numPr>
      <w:suppressAutoHyphens/>
      <w:spacing w:before="40" w:after="20" w:line="240" w:lineRule="auto"/>
    </w:pPr>
    <w:rPr>
      <w:rFonts w:asciiTheme="minorHAnsi" w:eastAsiaTheme="minorHAnsi" w:hAnsiTheme="minorHAnsi" w:cstheme="minorBidi"/>
      <w:sz w:val="24"/>
      <w:szCs w:val="24"/>
      <w:lang w:val="en-US" w:eastAsia="ar-SA"/>
    </w:rPr>
  </w:style>
  <w:style w:type="character" w:styleId="-0">
    <w:name w:val="FollowedHyperlink"/>
    <w:basedOn w:val="a0"/>
    <w:uiPriority w:val="99"/>
    <w:semiHidden/>
    <w:unhideWhenUsed/>
    <w:rsid w:val="00AD1E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740869">
      <w:bodyDiv w:val="1"/>
      <w:marLeft w:val="0"/>
      <w:marRight w:val="0"/>
      <w:marTop w:val="0"/>
      <w:marBottom w:val="0"/>
      <w:divBdr>
        <w:top w:val="none" w:sz="0" w:space="0" w:color="auto"/>
        <w:left w:val="none" w:sz="0" w:space="0" w:color="auto"/>
        <w:bottom w:val="none" w:sz="0" w:space="0" w:color="auto"/>
        <w:right w:val="none" w:sz="0" w:space="0" w:color="auto"/>
      </w:divBdr>
      <w:divsChild>
        <w:div w:id="399593739">
          <w:marLeft w:val="0"/>
          <w:marRight w:val="0"/>
          <w:marTop w:val="120"/>
          <w:marBottom w:val="0"/>
          <w:divBdr>
            <w:top w:val="none" w:sz="0" w:space="0" w:color="auto"/>
            <w:left w:val="none" w:sz="0" w:space="0" w:color="auto"/>
            <w:bottom w:val="none" w:sz="0" w:space="0" w:color="auto"/>
            <w:right w:val="none" w:sz="0" w:space="0" w:color="auto"/>
          </w:divBdr>
        </w:div>
        <w:div w:id="1314943168">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nomicshelp.org/tertiary-service-sector/" TargetMode="External"/><Relationship Id="rId13" Type="http://schemas.openxmlformats.org/officeDocument/2006/relationships/image" Target="media/image3.jpeg"/><Relationship Id="rId18" Type="http://schemas.openxmlformats.org/officeDocument/2006/relationships/hyperlink" Target="https://www.economicshelp.org/blog/7617/economics/economic-growth-during-great-moderation/" TargetMode="Externa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www.economicshelp.org/concepts/manufacturing-secondary-sector/" TargetMode="External"/><Relationship Id="rId12" Type="http://schemas.openxmlformats.org/officeDocument/2006/relationships/image" Target="media/image2.jpe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economicshelp.org/blog/27373/concepts/the-knowledge-economy/" TargetMode="External"/><Relationship Id="rId20" Type="http://schemas.openxmlformats.org/officeDocument/2006/relationships/hyperlink" Target="https://www.economicshelp.org/wp-content/uploads/2020/05/traditional-vs-digital.png" TargetMode="External"/><Relationship Id="rId1" Type="http://schemas.openxmlformats.org/officeDocument/2006/relationships/numbering" Target="numbering.xml"/><Relationship Id="rId6" Type="http://schemas.openxmlformats.org/officeDocument/2006/relationships/hyperlink" Target="https://www.economicshelp.org/concepts/primary-sector/" TargetMode="External"/><Relationship Id="rId11" Type="http://schemas.openxmlformats.org/officeDocument/2006/relationships/hyperlink" Target="https://www.economicshelp.org/concepts/primary-sector/" TargetMode="External"/><Relationship Id="rId24" Type="http://schemas.openxmlformats.org/officeDocument/2006/relationships/theme" Target="theme/theme1.xml"/><Relationship Id="rId5" Type="http://schemas.openxmlformats.org/officeDocument/2006/relationships/hyperlink" Target="https://www.economicshelp.org/blog/12436/concepts/sectors-economy/" TargetMode="External"/><Relationship Id="rId15" Type="http://schemas.openxmlformats.org/officeDocument/2006/relationships/hyperlink" Target="https://www.economicshelp.org/tertiary-service-sector/"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economicshelp.org/blog/2634/economics/private-sector-vs-public-sector/" TargetMode="External"/><Relationship Id="rId4" Type="http://schemas.openxmlformats.org/officeDocument/2006/relationships/webSettings" Target="webSettings.xml"/><Relationship Id="rId9" Type="http://schemas.openxmlformats.org/officeDocument/2006/relationships/hyperlink" Target="https://www.economicshelp.org/wp-content/uploads/2020/05/sectors-of-the-economy.png" TargetMode="External"/><Relationship Id="rId14" Type="http://schemas.openxmlformats.org/officeDocument/2006/relationships/hyperlink" Target="https://www.economicshelp.org/concepts/manufacturing-secondary-sector/" TargetMode="External"/><Relationship Id="rId22" Type="http://schemas.openxmlformats.org/officeDocument/2006/relationships/hyperlink" Target="https://www.economicshelp.org/blog/164275/economics/the-digital-economy-pros-and-c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1048</Words>
  <Characters>5661</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c:creator>
  <cp:keywords/>
  <dc:description/>
  <cp:lastModifiedBy>Paraskevi Kotti</cp:lastModifiedBy>
  <cp:revision>3</cp:revision>
  <dcterms:created xsi:type="dcterms:W3CDTF">2022-03-07T13:45:00Z</dcterms:created>
  <dcterms:modified xsi:type="dcterms:W3CDTF">2023-10-20T14:04:00Z</dcterms:modified>
</cp:coreProperties>
</file>