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3C" w:rsidRDefault="003F11E9" w:rsidP="00D8093C">
      <w:pPr>
        <w:pStyle w:val="z-"/>
        <w:pBdr>
          <w:bottom w:val="single" w:sz="6" w:space="5" w:color="auto"/>
        </w:pBdr>
        <w:jc w:val="left"/>
      </w:pPr>
      <w:r>
        <w:rPr>
          <w:noProof/>
          <w:vanish w:val="0"/>
        </w:rPr>
        <w:drawing>
          <wp:inline distT="0" distB="0" distL="0" distR="0">
            <wp:extent cx="565150" cy="523875"/>
            <wp:effectExtent l="19050" t="0" r="6350" b="0"/>
            <wp:docPr id="1" name="Εικόνα 1" descr="left-b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eft-but01"/>
                    <pic:cNvPicPr>
                      <a:picLocks noChangeAspect="1" noChangeArrowheads="1"/>
                    </pic:cNvPicPr>
                  </pic:nvPicPr>
                  <pic:blipFill>
                    <a:blip r:embed="rId7" cstate="print">
                      <a:lum bright="34000"/>
                      <a:grayscl/>
                    </a:blip>
                    <a:srcRect/>
                    <a:stretch>
                      <a:fillRect/>
                    </a:stretch>
                  </pic:blipFill>
                  <pic:spPr bwMode="auto">
                    <a:xfrm>
                      <a:off x="0" y="0"/>
                      <a:ext cx="565150" cy="523875"/>
                    </a:xfrm>
                    <a:prstGeom prst="rect">
                      <a:avLst/>
                    </a:prstGeom>
                    <a:solidFill>
                      <a:srgbClr val="00FFFF">
                        <a:alpha val="54901"/>
                      </a:srgbClr>
                    </a:solidFill>
                    <a:ln w="9525">
                      <a:noFill/>
                      <a:miter lim="800000"/>
                      <a:headEnd/>
                      <a:tailEnd/>
                    </a:ln>
                  </pic:spPr>
                </pic:pic>
              </a:graphicData>
            </a:graphic>
          </wp:inline>
        </w:drawing>
      </w:r>
      <w:r w:rsidR="00D8093C">
        <w:t>Top of Form</w:t>
      </w:r>
    </w:p>
    <w:p w:rsidR="00D8093C" w:rsidRDefault="003F11E9" w:rsidP="00D8093C">
      <w:pPr>
        <w:pStyle w:val="z-0"/>
        <w:jc w:val="left"/>
      </w:pPr>
      <w:r>
        <w:rPr>
          <w:rFonts w:ascii="Verdana" w:hAnsi="Verdana"/>
          <w:noProof/>
          <w:sz w:val="17"/>
          <w:szCs w:val="17"/>
        </w:rPr>
        <w:drawing>
          <wp:inline distT="0" distB="0" distL="0" distR="0">
            <wp:extent cx="1670685" cy="1529715"/>
            <wp:effectExtent l="19050" t="0" r="5715" b="0"/>
            <wp:docPr id="2" name="Εικόνα 2" descr="left-b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eft-but01"/>
                    <pic:cNvPicPr>
                      <a:picLocks noChangeAspect="1" noChangeArrowheads="1"/>
                    </pic:cNvPicPr>
                  </pic:nvPicPr>
                  <pic:blipFill>
                    <a:blip r:embed="rId8" cstate="print"/>
                    <a:srcRect/>
                    <a:stretch>
                      <a:fillRect/>
                    </a:stretch>
                  </pic:blipFill>
                  <pic:spPr bwMode="auto">
                    <a:xfrm>
                      <a:off x="0" y="0"/>
                      <a:ext cx="1670685" cy="1529715"/>
                    </a:xfrm>
                    <a:prstGeom prst="rect">
                      <a:avLst/>
                    </a:prstGeom>
                    <a:noFill/>
                    <a:ln w="9525">
                      <a:noFill/>
                      <a:miter lim="800000"/>
                      <a:headEnd/>
                      <a:tailEnd/>
                    </a:ln>
                  </pic:spPr>
                </pic:pic>
              </a:graphicData>
            </a:graphic>
          </wp:inline>
        </w:drawing>
      </w:r>
      <w:r w:rsidR="00D8093C">
        <w:t>Bottom of Form</w:t>
      </w:r>
    </w:p>
    <w:p w:rsidR="00D8093C" w:rsidRPr="009B1A0A" w:rsidRDefault="00D8093C" w:rsidP="00D8093C">
      <w:pPr>
        <w:pStyle w:val="a3"/>
        <w:jc w:val="left"/>
      </w:pPr>
    </w:p>
    <w:p w:rsidR="00D8093C" w:rsidRPr="006B7DBB" w:rsidRDefault="00D8093C" w:rsidP="00D8093C">
      <w:pPr>
        <w:pStyle w:val="z-"/>
        <w:rPr>
          <w:rFonts w:ascii="Verdana" w:hAnsi="Verdana" w:cs="Tahoma"/>
          <w:color w:val="FFFFFF"/>
        </w:rPr>
      </w:pPr>
      <w:r w:rsidRPr="006B7DBB">
        <w:rPr>
          <w:rFonts w:ascii="Verdana" w:hAnsi="Verdana" w:cs="Tahoma"/>
          <w:color w:val="FFFFFF"/>
        </w:rPr>
        <w:t>Top of Form</w:t>
      </w:r>
    </w:p>
    <w:p w:rsidR="00D8093C" w:rsidRPr="006B7DBB" w:rsidRDefault="00D8093C" w:rsidP="00D8093C">
      <w:pPr>
        <w:pStyle w:val="z-0"/>
        <w:rPr>
          <w:rFonts w:ascii="Verdana" w:hAnsi="Verdana" w:cs="Tahoma"/>
          <w:color w:val="FFFFFF"/>
        </w:rPr>
      </w:pPr>
      <w:r w:rsidRPr="006B7DBB">
        <w:rPr>
          <w:rFonts w:ascii="Verdana" w:hAnsi="Verdana" w:cs="Tahoma"/>
          <w:color w:val="FFFFFF"/>
        </w:rPr>
        <w:t>Bottom of Form</w:t>
      </w:r>
    </w:p>
    <w:p w:rsidR="00D8093C" w:rsidRPr="006B7DBB" w:rsidRDefault="00D8093C" w:rsidP="00D8093C">
      <w:pPr>
        <w:pStyle w:val="1"/>
        <w:shd w:val="clear" w:color="auto" w:fill="6A94A3"/>
        <w:rPr>
          <w:rFonts w:ascii="Verdana" w:hAnsi="Verdana" w:cs="Tahoma"/>
          <w:b w:val="0"/>
          <w:bCs w:val="0"/>
          <w:color w:val="FFFFFF"/>
          <w:sz w:val="16"/>
          <w:szCs w:val="16"/>
        </w:rPr>
      </w:pPr>
      <w:r w:rsidRPr="006B7DBB">
        <w:rPr>
          <w:rFonts w:ascii="Verdana" w:hAnsi="Verdana" w:cs="Tahoma"/>
          <w:i w:val="0"/>
          <w:color w:val="FFFFFF"/>
          <w:sz w:val="16"/>
          <w:szCs w:val="16"/>
        </w:rPr>
        <w:t>ΤΕΧΝΟΛΟΓΙΚΟ ΕΚΠΑΙΔΕΥΤΙΚΟ ΙΔΡΥΜΑ ΚΡΗΤΗΣ</w:t>
      </w:r>
      <w:r w:rsidRPr="006B7DBB">
        <w:rPr>
          <w:rFonts w:ascii="Verdana" w:hAnsi="Verdana" w:cs="Tahoma"/>
          <w:i w:val="0"/>
          <w:color w:val="FFFFFF"/>
          <w:sz w:val="16"/>
          <w:szCs w:val="16"/>
        </w:rPr>
        <w:br/>
        <w:t>ΠΑΡΑΡΤΗΜΑ ΑΓΙΟΥ ΝΙΚΟΛΑΟΥ</w:t>
      </w:r>
      <w:r w:rsidRPr="006B7DBB">
        <w:rPr>
          <w:rFonts w:ascii="Verdana" w:hAnsi="Verdana" w:cs="Tahoma"/>
          <w:sz w:val="16"/>
          <w:szCs w:val="16"/>
        </w:rPr>
        <w:br/>
      </w:r>
      <w:r w:rsidRPr="006B7DBB">
        <w:rPr>
          <w:rFonts w:ascii="Verdana" w:hAnsi="Verdana" w:cs="Tahoma"/>
          <w:sz w:val="16"/>
          <w:szCs w:val="16"/>
        </w:rPr>
        <w:br/>
      </w:r>
      <w:r w:rsidRPr="006B7DBB">
        <w:rPr>
          <w:rStyle w:val="large2"/>
          <w:rFonts w:cs="Tahoma"/>
          <w:b/>
          <w:bCs/>
          <w:i w:val="0"/>
          <w:color w:val="FFFFFF"/>
          <w:sz w:val="16"/>
          <w:szCs w:val="16"/>
        </w:rPr>
        <w:t>ΤΜΗΜΑ ΧΡΗΜΑΤΟΟΙΚΟΝΟΜΙΚΗΣ</w:t>
      </w:r>
      <w:r w:rsidRPr="006B7DBB">
        <w:rPr>
          <w:rFonts w:ascii="Verdana" w:hAnsi="Verdana" w:cs="Tahoma"/>
          <w:i w:val="0"/>
          <w:color w:val="FFFFFF"/>
          <w:sz w:val="16"/>
          <w:szCs w:val="16"/>
        </w:rPr>
        <w:t xml:space="preserve"> </w:t>
      </w:r>
      <w:r w:rsidRPr="006B7DBB">
        <w:rPr>
          <w:rStyle w:val="large2"/>
          <w:rFonts w:cs="Tahoma"/>
          <w:b/>
          <w:bCs/>
          <w:i w:val="0"/>
          <w:color w:val="FFFFFF"/>
          <w:sz w:val="16"/>
          <w:szCs w:val="16"/>
        </w:rPr>
        <w:t>&amp; ΑΣΦΑΛΙΣΤΙΚΗΣ</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ΜΑΘΗΜΑ : ΔΙΑΧΕΙΡΙΣΗ &amp; ΑΞΙΟΛΟΓΗΣΗ ΑΚΙΝΗΤΗΣ ΠΕΡΙΟΥΣΙΑΣ</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ΕΞΑΜΗΝΟ : Ε΄</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ΕΙΣΗΓΗΤΗΣ: ΝΙΚΟΣ ΓΡΗΓΟΡΑΚΗΣ</w:t>
      </w:r>
    </w:p>
    <w:p w:rsidR="00D8093C" w:rsidRPr="006B7DBB" w:rsidRDefault="00D8093C" w:rsidP="00D8093C">
      <w:pPr>
        <w:rPr>
          <w:rFonts w:ascii="Verdana" w:hAnsi="Verdana" w:cs="Tahoma"/>
          <w:b/>
          <w:bCs/>
          <w:sz w:val="16"/>
          <w:szCs w:val="16"/>
        </w:rPr>
      </w:pPr>
    </w:p>
    <w:tbl>
      <w:tblPr>
        <w:tblW w:w="97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9785"/>
      </w:tblGrid>
      <w:tr w:rsidR="00D8093C" w:rsidRPr="006B7DBB">
        <w:trPr>
          <w:trHeight w:val="269"/>
        </w:trPr>
        <w:tc>
          <w:tcPr>
            <w:tcW w:w="9785" w:type="dxa"/>
          </w:tcPr>
          <w:p w:rsidR="00D8093C" w:rsidRPr="006B7DBB" w:rsidRDefault="003F11E9" w:rsidP="009578B4">
            <w:pPr>
              <w:ind w:left="-108" w:right="-47"/>
              <w:rPr>
                <w:rFonts w:ascii="Verdana" w:hAnsi="Verdana" w:cs="Tahoma"/>
                <w:b/>
                <w:bCs/>
                <w:sz w:val="16"/>
                <w:szCs w:val="16"/>
              </w:rPr>
            </w:pPr>
            <w:r w:rsidRPr="006B7DBB">
              <w:rPr>
                <w:rFonts w:ascii="Verdana" w:hAnsi="Verdana" w:cs="Tahoma"/>
                <w:b/>
                <w:bCs/>
                <w:sz w:val="16"/>
                <w:szCs w:val="16"/>
              </w:rPr>
              <w:t xml:space="preserve">ΕΞΕΤΑΣΤΙΚΗ </w:t>
            </w:r>
            <w:r w:rsidR="009578B4">
              <w:rPr>
                <w:rFonts w:ascii="Verdana" w:hAnsi="Verdana" w:cs="Tahoma"/>
                <w:b/>
                <w:bCs/>
                <w:sz w:val="16"/>
                <w:szCs w:val="16"/>
              </w:rPr>
              <w:t>ΕΑΡ</w:t>
            </w:r>
            <w:r w:rsidRPr="006B7DBB">
              <w:rPr>
                <w:rFonts w:ascii="Verdana" w:hAnsi="Verdana" w:cs="Tahoma"/>
                <w:b/>
                <w:bCs/>
                <w:sz w:val="16"/>
                <w:szCs w:val="16"/>
              </w:rPr>
              <w:t xml:space="preserve"> ΕΞ </w:t>
            </w:r>
            <w:r>
              <w:rPr>
                <w:rFonts w:ascii="Verdana" w:hAnsi="Verdana" w:cs="Tahoma"/>
                <w:b/>
                <w:bCs/>
                <w:sz w:val="16"/>
                <w:szCs w:val="16"/>
              </w:rPr>
              <w:t>201</w:t>
            </w:r>
            <w:r w:rsidRPr="000020C5">
              <w:rPr>
                <w:rFonts w:ascii="Verdana" w:hAnsi="Verdana" w:cs="Tahoma"/>
                <w:b/>
                <w:bCs/>
                <w:sz w:val="16"/>
                <w:szCs w:val="16"/>
              </w:rPr>
              <w:t>2</w:t>
            </w:r>
            <w:r>
              <w:rPr>
                <w:rFonts w:ascii="Verdana" w:hAnsi="Verdana" w:cs="Tahoma"/>
                <w:b/>
                <w:bCs/>
                <w:sz w:val="16"/>
                <w:szCs w:val="16"/>
              </w:rPr>
              <w:t xml:space="preserve"> / </w:t>
            </w:r>
            <w:r w:rsidR="009578B4">
              <w:rPr>
                <w:rFonts w:ascii="Verdana" w:hAnsi="Verdana" w:cs="Tahoma"/>
                <w:b/>
                <w:bCs/>
                <w:sz w:val="16"/>
                <w:szCs w:val="16"/>
              </w:rPr>
              <w:t>ΔΕΥΤΕΡΑ</w:t>
            </w:r>
            <w:r>
              <w:rPr>
                <w:rFonts w:ascii="Verdana" w:hAnsi="Verdana" w:cs="Tahoma"/>
                <w:b/>
                <w:bCs/>
                <w:sz w:val="16"/>
                <w:szCs w:val="16"/>
              </w:rPr>
              <w:t xml:space="preserve"> </w:t>
            </w:r>
            <w:r w:rsidR="009578B4">
              <w:rPr>
                <w:rFonts w:ascii="Verdana" w:hAnsi="Verdana" w:cs="Tahoma"/>
                <w:b/>
                <w:bCs/>
                <w:sz w:val="16"/>
                <w:szCs w:val="16"/>
              </w:rPr>
              <w:t>25-06</w:t>
            </w:r>
            <w:r>
              <w:rPr>
                <w:rFonts w:ascii="Verdana" w:hAnsi="Verdana" w:cs="Tahoma"/>
                <w:b/>
                <w:bCs/>
                <w:sz w:val="16"/>
                <w:szCs w:val="16"/>
              </w:rPr>
              <w:t>-201</w:t>
            </w:r>
            <w:r w:rsidRPr="000020C5">
              <w:rPr>
                <w:rFonts w:ascii="Verdana" w:hAnsi="Verdana" w:cs="Tahoma"/>
                <w:b/>
                <w:bCs/>
                <w:sz w:val="16"/>
                <w:szCs w:val="16"/>
              </w:rPr>
              <w:t>2</w:t>
            </w:r>
            <w:r>
              <w:rPr>
                <w:rFonts w:ascii="Verdana" w:hAnsi="Verdana" w:cs="Tahoma"/>
                <w:b/>
                <w:bCs/>
                <w:sz w:val="16"/>
                <w:szCs w:val="16"/>
              </w:rPr>
              <w:t xml:space="preserve"> / ΩΡΑ:1</w:t>
            </w:r>
            <w:r w:rsidR="009578B4">
              <w:rPr>
                <w:rFonts w:ascii="Verdana" w:hAnsi="Verdana" w:cs="Tahoma"/>
                <w:b/>
                <w:bCs/>
                <w:sz w:val="16"/>
                <w:szCs w:val="16"/>
              </w:rPr>
              <w:t>9</w:t>
            </w:r>
            <w:r>
              <w:rPr>
                <w:rFonts w:ascii="Verdana" w:hAnsi="Verdana" w:cs="Tahoma"/>
                <w:b/>
                <w:bCs/>
                <w:sz w:val="16"/>
                <w:szCs w:val="16"/>
              </w:rPr>
              <w:t xml:space="preserve">.00 – </w:t>
            </w:r>
            <w:r w:rsidR="009578B4">
              <w:rPr>
                <w:rFonts w:ascii="Verdana" w:hAnsi="Verdana" w:cs="Tahoma"/>
                <w:b/>
                <w:bCs/>
                <w:sz w:val="16"/>
                <w:szCs w:val="16"/>
              </w:rPr>
              <w:t>21</w:t>
            </w:r>
            <w:r>
              <w:rPr>
                <w:rFonts w:ascii="Verdana" w:hAnsi="Verdana" w:cs="Tahoma"/>
                <w:b/>
                <w:bCs/>
                <w:sz w:val="16"/>
                <w:szCs w:val="16"/>
              </w:rPr>
              <w:t>.00.</w:t>
            </w:r>
          </w:p>
        </w:tc>
      </w:tr>
    </w:tbl>
    <w:p w:rsidR="00D8093C" w:rsidRPr="00A05919" w:rsidRDefault="00D8093C" w:rsidP="00D8093C">
      <w:pPr>
        <w:rPr>
          <w:rFonts w:ascii="Verdana" w:hAnsi="Verdana" w:cs="Tahoma"/>
          <w:b/>
          <w:sz w:val="16"/>
          <w:szCs w:val="16"/>
          <w:u w:val="single"/>
        </w:rPr>
      </w:pPr>
      <w:r w:rsidRPr="00A05919">
        <w:rPr>
          <w:rFonts w:ascii="Verdana" w:hAnsi="Verdana" w:cs="Tahoma"/>
          <w:b/>
          <w:sz w:val="16"/>
          <w:szCs w:val="16"/>
          <w:u w:val="single"/>
        </w:rPr>
        <w:t>ΟΜΑΔΑ Α</w:t>
      </w:r>
    </w:p>
    <w:p w:rsidR="00D8093C" w:rsidRDefault="00D8093C" w:rsidP="00D8093C">
      <w:pPr>
        <w:autoSpaceDE w:val="0"/>
        <w:autoSpaceDN w:val="0"/>
        <w:adjustRightInd w:val="0"/>
        <w:jc w:val="both"/>
        <w:rPr>
          <w:rFonts w:ascii="Verdana" w:hAnsi="Verdana" w:cs="Tahoma"/>
          <w:bCs/>
          <w:sz w:val="16"/>
          <w:szCs w:val="16"/>
        </w:rPr>
      </w:pPr>
    </w:p>
    <w:p w:rsidR="001A6385" w:rsidRPr="001A6385" w:rsidRDefault="00D8093C" w:rsidP="001A6385">
      <w:pPr>
        <w:autoSpaceDE w:val="0"/>
        <w:autoSpaceDN w:val="0"/>
        <w:adjustRightInd w:val="0"/>
        <w:jc w:val="both"/>
        <w:rPr>
          <w:rFonts w:ascii="Verdana" w:hAnsi="Verdana" w:cs="Tahoma"/>
          <w:b/>
          <w:bCs/>
          <w:sz w:val="16"/>
          <w:szCs w:val="16"/>
        </w:rPr>
      </w:pPr>
      <w:r w:rsidRPr="00B50255">
        <w:rPr>
          <w:rFonts w:ascii="Verdana" w:hAnsi="Verdana" w:cs="Tahoma"/>
          <w:b/>
          <w:bCs/>
          <w:sz w:val="16"/>
          <w:szCs w:val="16"/>
        </w:rPr>
        <w:t>ΘΕΜΑ 1.</w:t>
      </w:r>
    </w:p>
    <w:p w:rsidR="00013002" w:rsidRPr="008D085A" w:rsidRDefault="001A6385" w:rsidP="008D085A">
      <w:pPr>
        <w:autoSpaceDE w:val="0"/>
        <w:autoSpaceDN w:val="0"/>
        <w:adjustRightInd w:val="0"/>
        <w:jc w:val="both"/>
        <w:rPr>
          <w:rFonts w:ascii="Verdana" w:hAnsi="Verdana" w:cs="UB-NewsLetter"/>
          <w:sz w:val="16"/>
          <w:szCs w:val="16"/>
        </w:rPr>
      </w:pPr>
      <w:r w:rsidRPr="008D085A">
        <w:rPr>
          <w:rFonts w:ascii="Verdana" w:hAnsi="Verdana" w:cs="Tahoma"/>
          <w:bCs/>
          <w:sz w:val="16"/>
          <w:szCs w:val="16"/>
        </w:rPr>
        <w:t>«</w:t>
      </w:r>
      <w:r w:rsidR="008D085A" w:rsidRPr="008D085A">
        <w:rPr>
          <w:rFonts w:ascii="Verdana" w:hAnsi="Verdana" w:cs="UB-NewsLetter"/>
          <w:sz w:val="16"/>
          <w:szCs w:val="16"/>
        </w:rPr>
        <w:t>Επιπλέον, η αγορά ακινήτων στην ελληνική οικονομία αποτελεί έναν από τους κύριους πυλώνες τόσο για την ομαλή λειτουργία όσο και για την ανάπτυξη της οικονομίας αυτής. Ειδικότερα, οι επενδύσεις σε ακίνητα για το έτος 2008 αποτελούσαν το 5,4% του ΑΕΠ, όταν στις υπόλοιπες οικονομίες της Ευρωπαϊκής Ένωσης (ΕΕ) και ειδικότερα στην ευρωζώνη οι αντίστοιχες επενδύσεις αποτελούσαν το 6,1% του ΑΕΠ (Χαρδούβελης, 2009β). Η απασχόληση δε στην εν λόγω αγορά ανήλθε στο 9% της συνολικής απασχόλησης της οικονομίας, όταν την ίδια περίοδο στην Ισπανία (όπου συνετελείτο ένα κατασκευαστικό επενδυτικό θαύμα) ανερχόταν στο 13% της συνολικής απασχόλησης της ισπανικής οικονομίας. Ταυτόχρονα, τα ακίνητα αποτελούν για τον έλληνα επενδυτή ένα σημαντικό κομμάτι του χαρτοφυλακίου του και της περιουσίας του. Έτσι, σήμερα το 81,8% των επενδύσεών του είναι σε ακίνητα (με το δεύτερο ποσοστό ιδιοκατοίκησης παγκοσμίως, το οποίο φτάνει το 80% στον πληθυσμό), όταν το 17% και το 1,2% είναι σε καταθέσεις και μετοχές, αντίστοιχα (Χαρδούβελης, 2009β).</w:t>
      </w:r>
      <w:r w:rsidR="00013002" w:rsidRPr="008D085A">
        <w:rPr>
          <w:rFonts w:ascii="Verdana" w:hAnsi="Verdana" w:cs="BookAntiqua"/>
          <w:sz w:val="16"/>
          <w:szCs w:val="16"/>
        </w:rPr>
        <w:t xml:space="preserve"> </w:t>
      </w:r>
    </w:p>
    <w:p w:rsidR="00B92649" w:rsidRDefault="00B92649" w:rsidP="00013002">
      <w:pPr>
        <w:autoSpaceDE w:val="0"/>
        <w:autoSpaceDN w:val="0"/>
        <w:adjustRightInd w:val="0"/>
        <w:jc w:val="both"/>
        <w:rPr>
          <w:rFonts w:ascii="Verdana" w:hAnsi="Verdana" w:cs="BookAntiqua"/>
          <w:sz w:val="16"/>
          <w:szCs w:val="16"/>
        </w:rPr>
      </w:pPr>
    </w:p>
    <w:p w:rsidR="00D8093C" w:rsidRPr="00F059D2" w:rsidRDefault="00F059D2" w:rsidP="00D8093C">
      <w:pPr>
        <w:autoSpaceDE w:val="0"/>
        <w:autoSpaceDN w:val="0"/>
        <w:adjustRightInd w:val="0"/>
        <w:jc w:val="both"/>
        <w:rPr>
          <w:rFonts w:ascii="Verdana" w:hAnsi="Verdana" w:cs="Tahoma"/>
          <w:b/>
          <w:bCs/>
          <w:sz w:val="16"/>
          <w:szCs w:val="16"/>
        </w:rPr>
      </w:pPr>
      <w:r>
        <w:rPr>
          <w:rFonts w:ascii="Verdana" w:hAnsi="Verdana" w:cs="Tahoma"/>
          <w:b/>
          <w:bCs/>
          <w:sz w:val="16"/>
          <w:szCs w:val="16"/>
        </w:rPr>
        <w:t>ή</w:t>
      </w:r>
      <w:r w:rsidRPr="00F059D2">
        <w:rPr>
          <w:rFonts w:ascii="Verdana" w:hAnsi="Verdana" w:cs="Tahoma"/>
          <w:b/>
          <w:bCs/>
          <w:sz w:val="16"/>
          <w:szCs w:val="16"/>
        </w:rPr>
        <w:t xml:space="preserve"> εναλλακτικά</w:t>
      </w:r>
      <w:r w:rsidR="00624CA7">
        <w:rPr>
          <w:rFonts w:ascii="Verdana" w:hAnsi="Verdana" w:cs="Tahoma"/>
          <w:b/>
          <w:bCs/>
          <w:sz w:val="16"/>
          <w:szCs w:val="16"/>
        </w:rPr>
        <w:t xml:space="preserve"> για (5,00 μονάδες)</w:t>
      </w:r>
    </w:p>
    <w:p w:rsidR="009E44D4" w:rsidRPr="009E44D4" w:rsidRDefault="006F1624" w:rsidP="009E44D4">
      <w:pPr>
        <w:pStyle w:val="a7"/>
        <w:spacing w:line="240" w:lineRule="auto"/>
        <w:rPr>
          <w:rFonts w:cs="Tahoma"/>
          <w:bCs/>
          <w:sz w:val="16"/>
          <w:szCs w:val="16"/>
        </w:rPr>
      </w:pPr>
      <w:r>
        <w:rPr>
          <w:rFonts w:cs="Tahoma"/>
          <w:bCs/>
          <w:sz w:val="16"/>
          <w:szCs w:val="16"/>
        </w:rPr>
        <w:t>1.</w:t>
      </w:r>
      <w:r w:rsidR="00A46D5C">
        <w:rPr>
          <w:rFonts w:cs="Tahoma"/>
          <w:sz w:val="16"/>
          <w:szCs w:val="16"/>
        </w:rPr>
        <w:t xml:space="preserve"> </w:t>
      </w:r>
      <w:r w:rsidR="009E44D4" w:rsidRPr="009E44D4">
        <w:rPr>
          <w:rFonts w:cs="Tahoma"/>
          <w:sz w:val="16"/>
          <w:szCs w:val="16"/>
        </w:rPr>
        <w:t xml:space="preserve">Ο κλάδος της ακίνητης περιουσίας χαρακτηρίζεται από την ύπαρξη μεγάλου αριθμού εταιρειών, οι οποίες προσφέρουν σε γενικές γραμμές διαφοροποιημένες υπηρεσίες.  </w:t>
      </w:r>
      <w:r w:rsidR="009E44D4" w:rsidRPr="009E44D4">
        <w:rPr>
          <w:rFonts w:cs="Tahoma"/>
          <w:bCs/>
          <w:sz w:val="16"/>
          <w:szCs w:val="16"/>
        </w:rPr>
        <w:t>Με βάση τη φύση των υπηρεσιών που προσφέρουν, οι εταιρείες του κλάδου κατατάσσονται στις εξής κατηγορίες:</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2.15pt;margin-top:4.3pt;width:11.6pt;height:10.45pt;z-index:251660288"/>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Τους Μεσίτες.</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27" type="#_x0000_t16" style="position:absolute;margin-left:2.15pt;margin-top:3.25pt;width:11.6pt;height:10.45pt;z-index:251661312"/>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Ο.Ε.Κ.</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0" type="#_x0000_t16" style="position:absolute;margin-left:2.15pt;margin-top:5.2pt;width:11.6pt;height:10.45pt;z-index:251664384"/>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Εκμισθωτές Ακινήτων.</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28" type="#_x0000_t16" style="position:absolute;margin-left:2.15pt;margin-top:3.7pt;width:11.6pt;height:10.45pt;z-index:251662336"/>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Το 1</w:t>
      </w:r>
      <w:r w:rsidRPr="009E44D4">
        <w:rPr>
          <w:rFonts w:ascii="Verdana" w:hAnsi="Verdana" w:cs="Tahoma"/>
          <w:bCs/>
          <w:sz w:val="16"/>
          <w:szCs w:val="16"/>
          <w:vertAlign w:val="superscript"/>
        </w:rPr>
        <w:t>Ο</w:t>
      </w:r>
      <w:r w:rsidRPr="009E44D4">
        <w:rPr>
          <w:rFonts w:ascii="Verdana" w:hAnsi="Verdana" w:cs="Tahoma"/>
          <w:bCs/>
          <w:sz w:val="16"/>
          <w:szCs w:val="16"/>
        </w:rPr>
        <w:t xml:space="preserve"> και το 3</w:t>
      </w:r>
      <w:r w:rsidRPr="009E44D4">
        <w:rPr>
          <w:rFonts w:ascii="Verdana" w:hAnsi="Verdana" w:cs="Tahoma"/>
          <w:bCs/>
          <w:sz w:val="16"/>
          <w:szCs w:val="16"/>
          <w:vertAlign w:val="superscript"/>
        </w:rPr>
        <w:t>Ο</w:t>
      </w:r>
      <w:r w:rsidRPr="009E44D4">
        <w:rPr>
          <w:rFonts w:ascii="Verdana" w:hAnsi="Verdana" w:cs="Tahoma"/>
          <w:bCs/>
          <w:sz w:val="16"/>
          <w:szCs w:val="16"/>
        </w:rPr>
        <w:t>.</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29" type="#_x0000_t16" style="position:absolute;margin-left:2.15pt;margin-top:3.85pt;width:11.6pt;height:10.45pt;z-index:251663360"/>
        </w:pict>
      </w:r>
      <w:r w:rsidR="009E44D4" w:rsidRPr="009E44D4">
        <w:rPr>
          <w:rFonts w:ascii="Verdana" w:hAnsi="Verdana" w:cs="Tahoma"/>
          <w:bCs/>
          <w:sz w:val="16"/>
          <w:szCs w:val="16"/>
        </w:rPr>
        <w:t xml:space="preserve">      </w: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Κανένα από τα προηγούμενα 4.</w:t>
      </w:r>
    </w:p>
    <w:p w:rsidR="009E44D4" w:rsidRPr="009E44D4" w:rsidRDefault="009E44D4" w:rsidP="009E44D4">
      <w:pPr>
        <w:rPr>
          <w:rFonts w:ascii="Verdana" w:hAnsi="Verdana" w:cs="Tahoma"/>
          <w:bCs/>
          <w:sz w:val="16"/>
          <w:szCs w:val="16"/>
        </w:rPr>
      </w:pPr>
    </w:p>
    <w:p w:rsidR="009E44D4" w:rsidRPr="009E44D4" w:rsidRDefault="009E44D4" w:rsidP="009E44D4">
      <w:pPr>
        <w:rPr>
          <w:rFonts w:ascii="Verdana" w:hAnsi="Verdana" w:cs="Tahoma"/>
          <w:bCs/>
          <w:sz w:val="16"/>
          <w:szCs w:val="16"/>
        </w:rPr>
      </w:pPr>
      <w:r>
        <w:rPr>
          <w:rFonts w:ascii="Verdana" w:hAnsi="Verdana" w:cs="Tahoma"/>
          <w:bCs/>
          <w:sz w:val="16"/>
          <w:szCs w:val="16"/>
        </w:rPr>
        <w:t xml:space="preserve">2 </w:t>
      </w:r>
      <w:r w:rsidRPr="009E44D4">
        <w:rPr>
          <w:rFonts w:ascii="Verdana" w:hAnsi="Verdana" w:cs="Tahoma"/>
          <w:bCs/>
          <w:sz w:val="16"/>
          <w:szCs w:val="16"/>
        </w:rPr>
        <w:t>. Πέραν της δραστηριότητας που αναπτύσσουν στο χώρο οι ιδιωτικές επιχειρήσεις, ενδιαφέρον για την αξιοποίηση της ακίνητης περιουσίας τους εκδηλώνουν και αρκετοί δημόσιοι φορείς. Ποιοι από τους παρακάτω εντάσσονται σε αυτούς.</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5" type="#_x0000_t16" style="position:absolute;margin-left:2.15pt;margin-top:5pt;width:11.6pt;height:10.45pt;z-index:251669504"/>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Τους Μεσίτες.</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1" type="#_x0000_t16" style="position:absolute;margin-left:2.15pt;margin-top:3.25pt;width:11.6pt;height:10.45pt;z-index:251665408"/>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Ο.Ε.Κ.</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4" type="#_x0000_t16" style="position:absolute;margin-left:2.15pt;margin-top:5.2pt;width:11.6pt;height:10.45pt;z-index:251668480"/>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Εκμισθωτές Ακινήτων.</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2" type="#_x0000_t16" style="position:absolute;margin-left:2.15pt;margin-top:3.7pt;width:11.6pt;height:10.45pt;z-index:251666432"/>
        </w:pict>
      </w:r>
    </w:p>
    <w:p w:rsidR="009E44D4" w:rsidRPr="009E44D4" w:rsidRDefault="009E44D4" w:rsidP="009E44D4">
      <w:pPr>
        <w:pStyle w:val="a7"/>
        <w:tabs>
          <w:tab w:val="num" w:pos="1200"/>
        </w:tabs>
        <w:spacing w:line="240" w:lineRule="auto"/>
        <w:rPr>
          <w:rFonts w:cs="Tahoma"/>
          <w:bCs/>
          <w:sz w:val="16"/>
          <w:szCs w:val="16"/>
        </w:rPr>
      </w:pPr>
      <w:r w:rsidRPr="009E44D4">
        <w:rPr>
          <w:rFonts w:cs="Tahoma"/>
          <w:bCs/>
          <w:sz w:val="16"/>
          <w:szCs w:val="16"/>
        </w:rPr>
        <w:t xml:space="preserve">       Επιχειρήσεις ανάπτυξης ακινήτων και επενδύσεων σε ακίνητη περιουσία.</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3" type="#_x0000_t16" style="position:absolute;margin-left:2.15pt;margin-top:3.85pt;width:11.6pt;height:10.45pt;z-index:251667456"/>
        </w:pict>
      </w:r>
      <w:r w:rsidR="009E44D4" w:rsidRPr="009E44D4">
        <w:rPr>
          <w:rFonts w:ascii="Verdana" w:hAnsi="Verdana" w:cs="Tahoma"/>
          <w:bCs/>
          <w:sz w:val="16"/>
          <w:szCs w:val="16"/>
        </w:rPr>
        <w:t xml:space="preserve">      </w: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Κανένα από τα προηγούμενα 4.</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6" type="#_x0000_t16" style="position:absolute;margin-left:2.15pt;margin-top:3.55pt;width:11.6pt;height:10.45pt;z-index:251670528"/>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Ασφαλιστικά Ταμεία.</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7" type="#_x0000_t16" style="position:absolute;margin-left:2.15pt;margin-top:5.6pt;width:11.6pt;height:10.45pt;z-index:251671552"/>
        </w:pic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Το 2</w:t>
      </w:r>
      <w:r w:rsidRPr="009E44D4">
        <w:rPr>
          <w:rFonts w:ascii="Verdana" w:hAnsi="Verdana" w:cs="Tahoma"/>
          <w:bCs/>
          <w:sz w:val="16"/>
          <w:szCs w:val="16"/>
          <w:vertAlign w:val="superscript"/>
        </w:rPr>
        <w:t>ο</w:t>
      </w:r>
      <w:r w:rsidRPr="009E44D4">
        <w:rPr>
          <w:rFonts w:ascii="Verdana" w:hAnsi="Verdana" w:cs="Tahoma"/>
          <w:bCs/>
          <w:sz w:val="16"/>
          <w:szCs w:val="16"/>
        </w:rPr>
        <w:t xml:space="preserve"> και το 6</w:t>
      </w:r>
      <w:r w:rsidRPr="009E44D4">
        <w:rPr>
          <w:rFonts w:ascii="Verdana" w:hAnsi="Verdana" w:cs="Tahoma"/>
          <w:bCs/>
          <w:sz w:val="16"/>
          <w:szCs w:val="16"/>
          <w:vertAlign w:val="superscript"/>
        </w:rPr>
        <w:t>ο</w:t>
      </w:r>
      <w:r w:rsidRPr="009E44D4">
        <w:rPr>
          <w:rFonts w:ascii="Verdana" w:hAnsi="Verdana" w:cs="Tahoma"/>
          <w:bCs/>
          <w:sz w:val="16"/>
          <w:szCs w:val="16"/>
        </w:rPr>
        <w:t>.</w:t>
      </w:r>
    </w:p>
    <w:p w:rsidR="009E44D4" w:rsidRPr="009E44D4" w:rsidRDefault="009E44D4" w:rsidP="009E44D4">
      <w:pPr>
        <w:rPr>
          <w:rFonts w:ascii="Verdana" w:hAnsi="Verdana" w:cs="Tahoma"/>
          <w:bCs/>
          <w:sz w:val="16"/>
          <w:szCs w:val="16"/>
        </w:rPr>
      </w:pPr>
    </w:p>
    <w:p w:rsidR="009E44D4" w:rsidRPr="009E44D4" w:rsidRDefault="003920F5" w:rsidP="009E44D4">
      <w:pPr>
        <w:rPr>
          <w:rFonts w:ascii="Verdana" w:hAnsi="Verdana" w:cs="Tahoma"/>
          <w:sz w:val="16"/>
          <w:szCs w:val="16"/>
        </w:rPr>
      </w:pPr>
      <w:r>
        <w:rPr>
          <w:rFonts w:ascii="Verdana" w:hAnsi="Verdana" w:cs="Tahoma"/>
          <w:bCs/>
          <w:sz w:val="16"/>
          <w:szCs w:val="16"/>
        </w:rPr>
        <w:t>3</w:t>
      </w:r>
      <w:r w:rsidR="009E44D4" w:rsidRPr="009E44D4">
        <w:rPr>
          <w:rFonts w:ascii="Verdana" w:hAnsi="Verdana" w:cs="Tahoma"/>
          <w:bCs/>
          <w:sz w:val="16"/>
          <w:szCs w:val="16"/>
        </w:rPr>
        <w:t xml:space="preserve">.   Περιγράψτε σε μία σειρά τι είναι η διαδικασία </w:t>
      </w:r>
      <w:r w:rsidR="009E44D4" w:rsidRPr="009E44D4">
        <w:rPr>
          <w:rFonts w:ascii="Verdana" w:hAnsi="Verdana" w:cs="Tahoma"/>
          <w:sz w:val="16"/>
          <w:szCs w:val="16"/>
        </w:rPr>
        <w:t>Εκτίμηση</w:t>
      </w:r>
      <w:r w:rsidR="00BE6D04">
        <w:rPr>
          <w:rFonts w:ascii="Verdana" w:hAnsi="Verdana" w:cs="Tahoma"/>
          <w:sz w:val="16"/>
          <w:szCs w:val="16"/>
        </w:rPr>
        <w:t>ς</w:t>
      </w:r>
      <w:r w:rsidR="009E44D4" w:rsidRPr="009E44D4">
        <w:rPr>
          <w:rFonts w:ascii="Verdana" w:hAnsi="Verdana" w:cs="Tahoma"/>
          <w:sz w:val="16"/>
          <w:szCs w:val="16"/>
        </w:rPr>
        <w:t xml:space="preserve"> ακινήτου;</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autoSpaceDE w:val="0"/>
        <w:autoSpaceDN w:val="0"/>
        <w:adjustRightInd w:val="0"/>
        <w:jc w:val="both"/>
        <w:rPr>
          <w:rFonts w:ascii="Verdana" w:hAnsi="Verdana" w:cs="Tahoma"/>
          <w:bCs/>
          <w:sz w:val="16"/>
          <w:szCs w:val="16"/>
        </w:rPr>
      </w:pPr>
    </w:p>
    <w:p w:rsidR="009E44D4" w:rsidRPr="009E44D4" w:rsidRDefault="003920F5" w:rsidP="009E44D4">
      <w:pPr>
        <w:autoSpaceDE w:val="0"/>
        <w:autoSpaceDN w:val="0"/>
        <w:adjustRightInd w:val="0"/>
        <w:jc w:val="both"/>
        <w:rPr>
          <w:rFonts w:ascii="Verdana" w:hAnsi="Verdana" w:cs="Tahoma"/>
          <w:bCs/>
          <w:sz w:val="16"/>
          <w:szCs w:val="16"/>
        </w:rPr>
      </w:pPr>
      <w:r>
        <w:rPr>
          <w:rFonts w:ascii="Verdana" w:hAnsi="Verdana" w:cs="Tahoma"/>
          <w:bCs/>
          <w:sz w:val="16"/>
          <w:szCs w:val="16"/>
        </w:rPr>
        <w:t>4</w:t>
      </w:r>
      <w:r w:rsidR="009E44D4" w:rsidRPr="009E44D4">
        <w:rPr>
          <w:rFonts w:ascii="Verdana" w:hAnsi="Verdana" w:cs="Tahoma"/>
          <w:bCs/>
          <w:sz w:val="16"/>
          <w:szCs w:val="16"/>
        </w:rPr>
        <w:t xml:space="preserve">. Τι είναι ο δείκτης </w:t>
      </w:r>
      <w:r w:rsidR="009E44D4" w:rsidRPr="009E44D4">
        <w:rPr>
          <w:rFonts w:ascii="Verdana" w:hAnsi="Verdana" w:cs="Tahoma"/>
          <w:sz w:val="16"/>
          <w:szCs w:val="16"/>
          <w:lang w:val="en-US"/>
        </w:rPr>
        <w:t>LTV</w:t>
      </w:r>
      <w:r w:rsidR="009E44D4" w:rsidRPr="009E44D4">
        <w:rPr>
          <w:rFonts w:ascii="Verdana" w:hAnsi="Verdana" w:cs="Tahoma"/>
          <w:sz w:val="16"/>
          <w:szCs w:val="16"/>
        </w:rPr>
        <w:t>;</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autoSpaceDE w:val="0"/>
        <w:autoSpaceDN w:val="0"/>
        <w:adjustRightInd w:val="0"/>
        <w:jc w:val="both"/>
        <w:rPr>
          <w:rFonts w:ascii="Verdana" w:hAnsi="Verdana" w:cs="Tahoma"/>
          <w:bCs/>
          <w:sz w:val="16"/>
          <w:szCs w:val="16"/>
        </w:rPr>
      </w:pPr>
    </w:p>
    <w:p w:rsidR="009E44D4" w:rsidRPr="009E44D4" w:rsidRDefault="003920F5" w:rsidP="009E44D4">
      <w:pPr>
        <w:autoSpaceDE w:val="0"/>
        <w:autoSpaceDN w:val="0"/>
        <w:adjustRightInd w:val="0"/>
        <w:jc w:val="both"/>
        <w:rPr>
          <w:rFonts w:ascii="Verdana" w:hAnsi="Verdana" w:cs="Tahoma"/>
          <w:bCs/>
          <w:sz w:val="16"/>
          <w:szCs w:val="16"/>
        </w:rPr>
      </w:pPr>
      <w:r>
        <w:rPr>
          <w:rFonts w:ascii="Verdana" w:hAnsi="Verdana" w:cs="Tahoma"/>
          <w:bCs/>
          <w:sz w:val="16"/>
          <w:szCs w:val="16"/>
        </w:rPr>
        <w:t>5</w:t>
      </w:r>
      <w:r w:rsidR="009E44D4" w:rsidRPr="009E44D4">
        <w:rPr>
          <w:rFonts w:ascii="Verdana" w:hAnsi="Verdana" w:cs="Tahoma"/>
          <w:bCs/>
          <w:sz w:val="16"/>
          <w:szCs w:val="16"/>
        </w:rPr>
        <w:t xml:space="preserve">. Τι γνωρίζεται για </w:t>
      </w:r>
      <w:r w:rsidR="009E44D4" w:rsidRPr="009E44D4">
        <w:rPr>
          <w:rFonts w:ascii="Verdana" w:hAnsi="Verdana" w:cs="Tahoma"/>
          <w:sz w:val="16"/>
          <w:szCs w:val="16"/>
        </w:rPr>
        <w:t>το RICS.</w: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rPr>
          <w:rFonts w:ascii="Verdana" w:hAnsi="Verdana" w:cs="Tahoma"/>
          <w:bCs/>
          <w:sz w:val="16"/>
          <w:szCs w:val="16"/>
        </w:rPr>
      </w:pPr>
    </w:p>
    <w:p w:rsidR="009E44D4" w:rsidRPr="009E44D4" w:rsidRDefault="003920F5" w:rsidP="009E44D4">
      <w:pPr>
        <w:rPr>
          <w:rFonts w:ascii="Verdana" w:hAnsi="Verdana" w:cs="Tahoma"/>
          <w:bCs/>
          <w:sz w:val="16"/>
          <w:szCs w:val="16"/>
        </w:rPr>
      </w:pPr>
      <w:r>
        <w:rPr>
          <w:rFonts w:ascii="Verdana" w:hAnsi="Verdana" w:cs="Tahoma"/>
          <w:bCs/>
          <w:sz w:val="16"/>
          <w:szCs w:val="16"/>
        </w:rPr>
        <w:t>6</w:t>
      </w:r>
      <w:r w:rsidR="009E44D4" w:rsidRPr="009E44D4">
        <w:rPr>
          <w:rFonts w:ascii="Verdana" w:hAnsi="Verdana" w:cs="Tahoma"/>
          <w:bCs/>
          <w:sz w:val="16"/>
          <w:szCs w:val="16"/>
        </w:rPr>
        <w:t xml:space="preserve">. Τι γνωρίζεται για τον δείκτη  </w:t>
      </w:r>
      <w:r w:rsidR="009E44D4" w:rsidRPr="009E44D4">
        <w:rPr>
          <w:rFonts w:ascii="Verdana" w:hAnsi="Verdana" w:cs="Tahoma"/>
          <w:sz w:val="16"/>
          <w:szCs w:val="16"/>
          <w:lang w:val="en-US"/>
        </w:rPr>
        <w:t>Notaires</w:t>
      </w:r>
      <w:r w:rsidR="009E44D4" w:rsidRPr="009E44D4">
        <w:rPr>
          <w:rFonts w:ascii="Verdana" w:hAnsi="Verdana" w:cs="Tahoma"/>
          <w:sz w:val="16"/>
          <w:szCs w:val="16"/>
        </w:rPr>
        <w:t>/</w:t>
      </w:r>
      <w:r w:rsidR="009E44D4" w:rsidRPr="009E44D4">
        <w:rPr>
          <w:rFonts w:ascii="Verdana" w:hAnsi="Verdana" w:cs="Tahoma"/>
          <w:sz w:val="16"/>
          <w:szCs w:val="16"/>
          <w:lang w:val="en-US"/>
        </w:rPr>
        <w:t>Insee</w:t>
      </w:r>
      <w:r w:rsidR="009E44D4" w:rsidRPr="009E44D4">
        <w:rPr>
          <w:rFonts w:ascii="Verdana" w:hAnsi="Verdana" w:cs="Tahoma"/>
          <w:sz w:val="16"/>
          <w:szCs w:val="16"/>
        </w:rPr>
        <w:t>.</w:t>
      </w:r>
      <w:r w:rsidR="009E44D4" w:rsidRPr="009E44D4">
        <w:rPr>
          <w:rFonts w:ascii="Verdana" w:hAnsi="Verdana" w:cs="Tahoma"/>
          <w:bCs/>
          <w:sz w:val="16"/>
          <w:szCs w:val="16"/>
        </w:rPr>
        <w:t xml:space="preserve"> </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 xml:space="preserve"> ……………………………………………………………………………………………………………………………………………………………………………………………………</w: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w:t>
      </w:r>
    </w:p>
    <w:p w:rsidR="009E44D4" w:rsidRPr="009E44D4" w:rsidRDefault="003920F5" w:rsidP="009E44D4">
      <w:pPr>
        <w:jc w:val="both"/>
        <w:rPr>
          <w:rFonts w:ascii="Verdana" w:hAnsi="Verdana" w:cs="Tahoma"/>
          <w:sz w:val="16"/>
          <w:szCs w:val="16"/>
        </w:rPr>
      </w:pPr>
      <w:r>
        <w:rPr>
          <w:rFonts w:ascii="Verdana" w:hAnsi="Verdana" w:cs="Tahoma"/>
          <w:bCs/>
          <w:sz w:val="16"/>
          <w:szCs w:val="16"/>
        </w:rPr>
        <w:t>7</w:t>
      </w:r>
      <w:r w:rsidR="009E44D4" w:rsidRPr="009E44D4">
        <w:rPr>
          <w:rFonts w:ascii="Verdana" w:hAnsi="Verdana" w:cs="Tahoma"/>
          <w:bCs/>
          <w:sz w:val="16"/>
          <w:szCs w:val="16"/>
        </w:rPr>
        <w:t xml:space="preserve">. </w:t>
      </w:r>
      <w:r w:rsidR="009E44D4" w:rsidRPr="009E44D4">
        <w:rPr>
          <w:rFonts w:ascii="Verdana" w:hAnsi="Verdana" w:cs="Tahoma"/>
          <w:sz w:val="16"/>
          <w:szCs w:val="16"/>
          <w:lang w:val="en-US"/>
        </w:rPr>
        <w:t>H</w:t>
      </w:r>
      <w:r w:rsidR="009E44D4" w:rsidRPr="009E44D4">
        <w:rPr>
          <w:rFonts w:ascii="Verdana" w:hAnsi="Verdana" w:cs="Tahoma"/>
          <w:sz w:val="16"/>
          <w:szCs w:val="16"/>
        </w:rPr>
        <w:t xml:space="preserve"> μέθοδος του μέσου όρου των τιμών αγοροπωλησίας ακινήτων εμφανίζει δύο σημαντικά πλεονεκτήματα σε σχέση με τις άλλες πρακτικές εκτίμησης. Παρακαλώ όπως τα περιγράψετε εν συντομία.</w:t>
      </w:r>
    </w:p>
    <w:p w:rsidR="009E44D4" w:rsidRPr="003920F5" w:rsidRDefault="009E44D4" w:rsidP="009E44D4">
      <w:pPr>
        <w:autoSpaceDE w:val="0"/>
        <w:autoSpaceDN w:val="0"/>
        <w:adjustRightInd w:val="0"/>
        <w:jc w:val="both"/>
        <w:rPr>
          <w:rFonts w:ascii="Verdana" w:hAnsi="Verdana" w:cs="Tahoma"/>
          <w:bCs/>
          <w:sz w:val="16"/>
          <w:szCs w:val="16"/>
        </w:rPr>
      </w:pPr>
      <w:r w:rsidRPr="003920F5">
        <w:rPr>
          <w:rFonts w:ascii="Verdana" w:hAnsi="Verdana" w:cs="Tahoma"/>
          <w:bCs/>
          <w:sz w:val="16"/>
          <w:szCs w:val="16"/>
        </w:rPr>
        <w:t>……………………………………………………………………………………………………………………………………………………………………………………………………</w:t>
      </w:r>
    </w:p>
    <w:p w:rsidR="009E44D4" w:rsidRPr="009E44D4" w:rsidRDefault="009E44D4" w:rsidP="009E44D4">
      <w:pPr>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jc w:val="both"/>
        <w:rPr>
          <w:rFonts w:ascii="Verdana" w:hAnsi="Verdana" w:cs="Tahoma"/>
          <w:bCs/>
          <w:sz w:val="16"/>
          <w:szCs w:val="16"/>
        </w:rPr>
      </w:pPr>
    </w:p>
    <w:p w:rsidR="009E44D4" w:rsidRPr="009E44D4" w:rsidRDefault="003920F5" w:rsidP="009E44D4">
      <w:pPr>
        <w:pStyle w:val="Default"/>
        <w:jc w:val="both"/>
        <w:rPr>
          <w:rFonts w:ascii="Verdana" w:hAnsi="Verdana" w:cs="Tahoma"/>
          <w:sz w:val="16"/>
          <w:szCs w:val="16"/>
        </w:rPr>
      </w:pPr>
      <w:r>
        <w:rPr>
          <w:rFonts w:ascii="Verdana" w:hAnsi="Verdana" w:cs="Tahoma"/>
          <w:bCs/>
          <w:sz w:val="16"/>
          <w:szCs w:val="16"/>
        </w:rPr>
        <w:lastRenderedPageBreak/>
        <w:t>8</w:t>
      </w:r>
      <w:r w:rsidR="009E44D4" w:rsidRPr="009E44D4">
        <w:rPr>
          <w:rFonts w:ascii="Verdana" w:hAnsi="Verdana" w:cs="Tahoma"/>
          <w:bCs/>
          <w:sz w:val="16"/>
          <w:szCs w:val="16"/>
        </w:rPr>
        <w:t xml:space="preserve">. </w:t>
      </w:r>
      <w:r w:rsidR="009E44D4" w:rsidRPr="009E44D4">
        <w:rPr>
          <w:rFonts w:ascii="Verdana" w:hAnsi="Verdana" w:cs="Tahoma"/>
          <w:sz w:val="16"/>
          <w:szCs w:val="16"/>
        </w:rPr>
        <w:t>Ποιος είναι ο γενικός τύπος της Υπολειμματικής μεθόδου:</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pStyle w:val="Default"/>
        <w:jc w:val="both"/>
        <w:rPr>
          <w:rFonts w:ascii="Verdana" w:hAnsi="Verdana" w:cs="Tahoma"/>
          <w:sz w:val="16"/>
          <w:szCs w:val="16"/>
        </w:rPr>
      </w:pPr>
    </w:p>
    <w:p w:rsidR="009E44D4" w:rsidRPr="009E44D4" w:rsidRDefault="003920F5" w:rsidP="009E44D4">
      <w:pPr>
        <w:pStyle w:val="Default"/>
        <w:jc w:val="both"/>
        <w:rPr>
          <w:rFonts w:ascii="Verdana" w:hAnsi="Verdana" w:cs="Tahoma"/>
          <w:sz w:val="16"/>
          <w:szCs w:val="16"/>
        </w:rPr>
      </w:pPr>
      <w:r>
        <w:rPr>
          <w:rFonts w:ascii="Verdana" w:hAnsi="Verdana" w:cs="Tahoma"/>
          <w:sz w:val="16"/>
          <w:szCs w:val="16"/>
        </w:rPr>
        <w:t>9</w:t>
      </w:r>
      <w:r w:rsidR="009E44D4" w:rsidRPr="009E44D4">
        <w:rPr>
          <w:rFonts w:ascii="Verdana" w:hAnsi="Verdana" w:cs="Tahoma"/>
          <w:sz w:val="16"/>
          <w:szCs w:val="16"/>
        </w:rPr>
        <w:t>. Η μέθοδος Κόστους Αντικατάστασης συναντάται με δύο διαφορετικές προσεγγίσεις, παρακαλώ επιγραμματικά να τις περιγράψετε.</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autoSpaceDE w:val="0"/>
        <w:autoSpaceDN w:val="0"/>
        <w:adjustRightInd w:val="0"/>
        <w:jc w:val="both"/>
        <w:rPr>
          <w:rFonts w:ascii="Verdana" w:hAnsi="Verdana" w:cs="Tahoma"/>
          <w:bCs/>
          <w:sz w:val="16"/>
          <w:szCs w:val="16"/>
        </w:rPr>
      </w:pPr>
    </w:p>
    <w:p w:rsidR="009E44D4" w:rsidRPr="009E44D4" w:rsidRDefault="003920F5" w:rsidP="009E44D4">
      <w:pPr>
        <w:autoSpaceDE w:val="0"/>
        <w:autoSpaceDN w:val="0"/>
        <w:adjustRightInd w:val="0"/>
        <w:jc w:val="both"/>
        <w:rPr>
          <w:rFonts w:ascii="Verdana" w:hAnsi="Verdana" w:cs="Tahoma"/>
          <w:sz w:val="16"/>
          <w:szCs w:val="16"/>
        </w:rPr>
      </w:pPr>
      <w:r>
        <w:rPr>
          <w:rFonts w:ascii="Verdana" w:hAnsi="Verdana" w:cs="Tahoma"/>
          <w:bCs/>
          <w:sz w:val="16"/>
          <w:szCs w:val="16"/>
        </w:rPr>
        <w:t>10</w:t>
      </w:r>
      <w:r w:rsidR="009E44D4" w:rsidRPr="009E44D4">
        <w:rPr>
          <w:rFonts w:ascii="Verdana" w:hAnsi="Verdana" w:cs="Tahoma"/>
          <w:bCs/>
          <w:sz w:val="16"/>
          <w:szCs w:val="16"/>
        </w:rPr>
        <w:t xml:space="preserve">. Τι είναι ο δείκτης </w:t>
      </w:r>
      <w:r w:rsidR="009E44D4" w:rsidRPr="009E44D4">
        <w:rPr>
          <w:rFonts w:ascii="Verdana" w:hAnsi="Verdana" w:cs="Tahoma"/>
          <w:sz w:val="16"/>
          <w:szCs w:val="16"/>
          <w:lang w:val="en-US"/>
        </w:rPr>
        <w:t>PTI</w:t>
      </w:r>
      <w:r w:rsidR="009E44D4" w:rsidRPr="009E44D4">
        <w:rPr>
          <w:rFonts w:ascii="Verdana" w:hAnsi="Verdana" w:cs="Tahoma"/>
          <w:sz w:val="16"/>
          <w:szCs w:val="16"/>
        </w:rPr>
        <w:t>;</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autoSpaceDE w:val="0"/>
        <w:autoSpaceDN w:val="0"/>
        <w:adjustRightInd w:val="0"/>
        <w:jc w:val="both"/>
        <w:rPr>
          <w:rFonts w:ascii="Verdana" w:hAnsi="Verdana" w:cs="Tahoma"/>
          <w:bCs/>
          <w:sz w:val="16"/>
          <w:szCs w:val="16"/>
        </w:rPr>
      </w:pPr>
    </w:p>
    <w:p w:rsidR="009E44D4" w:rsidRPr="009E44D4" w:rsidRDefault="003920F5" w:rsidP="009E44D4">
      <w:pPr>
        <w:autoSpaceDE w:val="0"/>
        <w:autoSpaceDN w:val="0"/>
        <w:adjustRightInd w:val="0"/>
        <w:jc w:val="both"/>
        <w:rPr>
          <w:rFonts w:ascii="Verdana" w:hAnsi="Verdana" w:cs="Tahoma"/>
          <w:sz w:val="16"/>
          <w:szCs w:val="16"/>
        </w:rPr>
      </w:pPr>
      <w:r>
        <w:rPr>
          <w:rFonts w:ascii="Verdana" w:hAnsi="Verdana" w:cs="Tahoma"/>
          <w:bCs/>
          <w:sz w:val="16"/>
          <w:szCs w:val="16"/>
        </w:rPr>
        <w:t>11</w:t>
      </w:r>
      <w:r w:rsidR="009E44D4" w:rsidRPr="009E44D4">
        <w:rPr>
          <w:rFonts w:ascii="Verdana" w:hAnsi="Verdana" w:cs="Tahoma"/>
          <w:bCs/>
          <w:sz w:val="16"/>
          <w:szCs w:val="16"/>
        </w:rPr>
        <w:t xml:space="preserve">. </w:t>
      </w:r>
      <w:r w:rsidR="009E44D4" w:rsidRPr="009E44D4">
        <w:rPr>
          <w:rFonts w:ascii="Verdana" w:hAnsi="Verdana" w:cs="Tahoma"/>
          <w:sz w:val="16"/>
          <w:szCs w:val="16"/>
        </w:rPr>
        <w:t xml:space="preserve">Η μέθοδος της ερώτησης </w:t>
      </w:r>
      <w:r w:rsidR="00DA32F7">
        <w:rPr>
          <w:rFonts w:ascii="Verdana" w:hAnsi="Verdana" w:cs="Tahoma"/>
          <w:sz w:val="16"/>
          <w:szCs w:val="16"/>
        </w:rPr>
        <w:t>9</w:t>
      </w:r>
      <w:r w:rsidR="009E44D4" w:rsidRPr="009E44D4">
        <w:rPr>
          <w:rFonts w:ascii="Verdana" w:hAnsi="Verdana" w:cs="Tahoma"/>
          <w:sz w:val="16"/>
          <w:szCs w:val="16"/>
        </w:rPr>
        <w:t xml:space="preserve"> εφαρμόζεται κυρίως</w:t>
      </w:r>
      <w:r w:rsidR="00DA32F7">
        <w:rPr>
          <w:rFonts w:ascii="Verdana" w:hAnsi="Verdana" w:cs="Tahoma"/>
          <w:sz w:val="16"/>
          <w:szCs w:val="16"/>
        </w:rPr>
        <w:t xml:space="preserve"> για ακίνητα…</w:t>
      </w:r>
      <w:r w:rsidR="009E44D4" w:rsidRPr="009E44D4">
        <w:rPr>
          <w:rFonts w:ascii="Verdana" w:hAnsi="Verdana" w:cs="Tahoma"/>
          <w:sz w:val="16"/>
          <w:szCs w:val="16"/>
        </w:rPr>
        <w:t xml:space="preserve"> : </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autoSpaceDE w:val="0"/>
        <w:autoSpaceDN w:val="0"/>
        <w:adjustRightInd w:val="0"/>
        <w:jc w:val="both"/>
        <w:rPr>
          <w:rFonts w:ascii="Verdana" w:hAnsi="Verdana" w:cs="Tahoma"/>
          <w:bCs/>
          <w:sz w:val="16"/>
          <w:szCs w:val="16"/>
        </w:rPr>
      </w:pPr>
    </w:p>
    <w:p w:rsidR="009E44D4" w:rsidRPr="009E44D4" w:rsidRDefault="003920F5" w:rsidP="009E44D4">
      <w:pPr>
        <w:autoSpaceDE w:val="0"/>
        <w:autoSpaceDN w:val="0"/>
        <w:adjustRightInd w:val="0"/>
        <w:jc w:val="both"/>
        <w:rPr>
          <w:rFonts w:ascii="Verdana" w:hAnsi="Verdana" w:cs="Tahoma"/>
          <w:sz w:val="16"/>
          <w:szCs w:val="16"/>
        </w:rPr>
      </w:pPr>
      <w:r>
        <w:rPr>
          <w:rFonts w:ascii="Verdana" w:hAnsi="Verdana" w:cs="Tahoma"/>
          <w:bCs/>
          <w:sz w:val="16"/>
          <w:szCs w:val="16"/>
        </w:rPr>
        <w:t>12</w:t>
      </w:r>
      <w:r w:rsidR="009E44D4" w:rsidRPr="009E44D4">
        <w:rPr>
          <w:rFonts w:ascii="Verdana" w:hAnsi="Verdana" w:cs="Tahoma"/>
          <w:bCs/>
          <w:sz w:val="16"/>
          <w:szCs w:val="16"/>
        </w:rPr>
        <w:t xml:space="preserve">. </w:t>
      </w:r>
      <w:r w:rsidR="009E44D4" w:rsidRPr="009E44D4">
        <w:rPr>
          <w:rFonts w:ascii="Verdana" w:hAnsi="Verdana" w:cs="Tahoma"/>
          <w:sz w:val="16"/>
          <w:szCs w:val="16"/>
        </w:rPr>
        <w:t>Στην περίπτωση που το κτίσμα δεν επιδέχεται επισκευές, γιατί βρίσκεται σε κακή κατάσταση ή αν το κτίριο έχει κατασκευασθεί για χρήσεις που δεν εξυπηρετούν το οικόπεδο και οι αναγκαίες επισκευές για αλλαγή της χρήσης δεν είναι δυνατές, όπως περιγράψετε σε τι κίνηση υπολογισμού προβαίνουμε στην μέθοδο του Κόστους Αντικατάστασης.</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jc w:val="both"/>
        <w:rPr>
          <w:rFonts w:ascii="Verdana" w:hAnsi="Verdana" w:cs="Tahoma"/>
          <w:bCs/>
          <w:sz w:val="16"/>
          <w:szCs w:val="16"/>
        </w:rPr>
      </w:pPr>
      <w:r w:rsidRPr="009E44D4">
        <w:rPr>
          <w:rFonts w:ascii="Verdana" w:hAnsi="Verdana" w:cs="Tahoma"/>
          <w:bCs/>
          <w:sz w:val="16"/>
          <w:szCs w:val="16"/>
        </w:rPr>
        <w:t>……………………………………………………………………………………………………………………………………………………………………………………………………</w:t>
      </w:r>
    </w:p>
    <w:p w:rsidR="009E44D4" w:rsidRPr="009E44D4" w:rsidRDefault="009E44D4" w:rsidP="009E44D4">
      <w:pPr>
        <w:autoSpaceDE w:val="0"/>
        <w:autoSpaceDN w:val="0"/>
        <w:adjustRightInd w:val="0"/>
        <w:jc w:val="both"/>
        <w:rPr>
          <w:rFonts w:ascii="Verdana" w:hAnsi="Verdana" w:cs="Tahoma"/>
          <w:bCs/>
          <w:sz w:val="16"/>
          <w:szCs w:val="16"/>
        </w:rPr>
      </w:pPr>
    </w:p>
    <w:p w:rsidR="009E44D4" w:rsidRPr="009E44D4" w:rsidRDefault="003920F5" w:rsidP="009E44D4">
      <w:pPr>
        <w:autoSpaceDE w:val="0"/>
        <w:autoSpaceDN w:val="0"/>
        <w:adjustRightInd w:val="0"/>
        <w:jc w:val="both"/>
        <w:rPr>
          <w:rFonts w:ascii="Verdana" w:hAnsi="Verdana" w:cs="Tahoma"/>
          <w:bCs/>
          <w:sz w:val="16"/>
          <w:szCs w:val="16"/>
        </w:rPr>
      </w:pPr>
      <w:r>
        <w:rPr>
          <w:rFonts w:ascii="Verdana" w:hAnsi="Verdana" w:cs="Tahoma"/>
          <w:bCs/>
          <w:sz w:val="16"/>
          <w:szCs w:val="16"/>
        </w:rPr>
        <w:t>13</w:t>
      </w:r>
      <w:r w:rsidR="009E44D4" w:rsidRPr="009E44D4">
        <w:rPr>
          <w:rFonts w:ascii="Verdana" w:hAnsi="Verdana" w:cs="Tahoma"/>
          <w:bCs/>
          <w:sz w:val="16"/>
          <w:szCs w:val="16"/>
        </w:rPr>
        <w:t>.</w:t>
      </w:r>
      <w:r w:rsidR="009E44D4" w:rsidRPr="009E44D4">
        <w:rPr>
          <w:rFonts w:ascii="Verdana" w:hAnsi="Verdana" w:cs="Tahoma"/>
          <w:sz w:val="16"/>
          <w:szCs w:val="16"/>
        </w:rPr>
        <w:t xml:space="preserve"> Η υπεραξία της γης που προκύπτει λόγω δόμησης ενός κτιρίου σε αυτή, λαμβάνοντας υπόψη και το ποσοστό της συνολικής απαξίωσης του κτιρίου και τη σχέση της συνολικής υφιστάμενης δόμησης προς τη συνολική επιτρεπόμενη δόμηση, δίνεται από τη σχέση:</w:t>
      </w: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9" type="#_x0000_t16" style="position:absolute;margin-left:2.15pt;margin-top:5.2pt;width:11.6pt;height:10.45pt;z-index:251673600"/>
        </w:pict>
      </w:r>
      <w:r w:rsidR="009E44D4" w:rsidRPr="009E44D4">
        <w:rPr>
          <w:rFonts w:ascii="Verdana" w:hAnsi="Verdana" w:cs="Tahoma"/>
          <w:bCs/>
          <w:sz w:val="16"/>
          <w:szCs w:val="16"/>
        </w:rPr>
        <w:t xml:space="preserve">       </w:t>
      </w:r>
    </w:p>
    <w:p w:rsidR="009E44D4" w:rsidRPr="009E44D4" w:rsidRDefault="009E44D4" w:rsidP="009E44D4">
      <w:pPr>
        <w:rPr>
          <w:rFonts w:ascii="Verdana" w:hAnsi="Verdana" w:cs="Tahoma"/>
          <w:bCs/>
          <w:sz w:val="16"/>
          <w:szCs w:val="16"/>
        </w:rPr>
      </w:pPr>
      <w:r w:rsidRPr="009E44D4">
        <w:rPr>
          <w:rFonts w:ascii="Verdana" w:hAnsi="Verdana" w:cs="Tahoma"/>
          <w:bCs/>
          <w:sz w:val="16"/>
          <w:szCs w:val="16"/>
        </w:rPr>
        <w:t xml:space="preserve">        </w:t>
      </w:r>
      <w:r w:rsidRPr="009E44D4">
        <w:rPr>
          <w:rFonts w:ascii="Verdana" w:hAnsi="Verdana" w:cs="Tahoma"/>
          <w:sz w:val="16"/>
          <w:szCs w:val="16"/>
        </w:rPr>
        <w:t xml:space="preserve">Υπεραξία = </w:t>
      </w:r>
      <w:r w:rsidRPr="009E44D4">
        <w:rPr>
          <w:rFonts w:ascii="Verdana" w:hAnsi="Verdana" w:cs="Tahoma"/>
          <w:sz w:val="16"/>
          <w:szCs w:val="16"/>
          <w:lang w:val="en-US"/>
        </w:rPr>
        <w:t>Co</w:t>
      </w:r>
      <w:r w:rsidRPr="009E44D4">
        <w:rPr>
          <w:rFonts w:ascii="Verdana" w:hAnsi="Verdana" w:cs="Tahoma"/>
          <w:sz w:val="16"/>
          <w:szCs w:val="16"/>
        </w:rPr>
        <w:t>[(1+</w:t>
      </w:r>
      <w:proofErr w:type="spellStart"/>
      <w:r w:rsidRPr="009E44D4">
        <w:rPr>
          <w:rFonts w:ascii="Verdana" w:hAnsi="Verdana" w:cs="Tahoma"/>
          <w:sz w:val="16"/>
          <w:szCs w:val="16"/>
          <w:lang w:val="en-US"/>
        </w:rPr>
        <w:t>i</w:t>
      </w:r>
      <w:proofErr w:type="spellEnd"/>
      <w:r w:rsidRPr="009E44D4">
        <w:rPr>
          <w:rFonts w:ascii="Verdana" w:hAnsi="Verdana" w:cs="Tahoma"/>
          <w:sz w:val="16"/>
          <w:szCs w:val="16"/>
        </w:rPr>
        <w:t>)</w:t>
      </w:r>
      <w:r w:rsidR="004E4BEE">
        <w:rPr>
          <w:rFonts w:ascii="Verdana" w:hAnsi="Verdana" w:cs="Tahoma"/>
          <w:sz w:val="16"/>
          <w:szCs w:val="16"/>
        </w:rPr>
        <w:t>^</w:t>
      </w:r>
      <w:r w:rsidR="004E4BEE">
        <w:rPr>
          <w:rFonts w:ascii="Verdana" w:hAnsi="Verdana" w:cs="Tahoma"/>
          <w:sz w:val="16"/>
          <w:szCs w:val="16"/>
          <w:lang w:val="en-US"/>
        </w:rPr>
        <w:t>n</w:t>
      </w:r>
      <w:r w:rsidR="00116D5F" w:rsidRPr="00116D5F">
        <w:rPr>
          <w:rFonts w:ascii="Verdana" w:hAnsi="Verdana" w:cs="Tahoma"/>
          <w:sz w:val="16"/>
          <w:szCs w:val="16"/>
        </w:rPr>
        <w:t xml:space="preserve"> </w:t>
      </w:r>
      <w:r w:rsidRPr="009E44D4">
        <w:rPr>
          <w:rFonts w:ascii="Verdana" w:hAnsi="Verdana" w:cs="Tahoma"/>
          <w:sz w:val="16"/>
          <w:szCs w:val="16"/>
        </w:rPr>
        <w:t>-1]*(Συνολική Υφιστάμενη Δόμηση/Συνολική Επιτρεπόμενη Δόμηση) * Μέση Τεχνική Απαξίωση.</w:t>
      </w:r>
    </w:p>
    <w:p w:rsidR="009E44D4" w:rsidRPr="009E44D4" w:rsidRDefault="009E44D4" w:rsidP="009E44D4">
      <w:pPr>
        <w:rPr>
          <w:rFonts w:ascii="Verdana" w:hAnsi="Verdana" w:cs="Tahoma"/>
          <w:bCs/>
          <w:sz w:val="16"/>
          <w:szCs w:val="16"/>
        </w:rPr>
      </w:pPr>
    </w:p>
    <w:p w:rsidR="009E44D4" w:rsidRPr="009E44D4" w:rsidRDefault="00A74670" w:rsidP="009E44D4">
      <w:pPr>
        <w:rPr>
          <w:rFonts w:ascii="Verdana" w:hAnsi="Verdana" w:cs="Tahoma"/>
          <w:bCs/>
          <w:sz w:val="16"/>
          <w:szCs w:val="16"/>
        </w:rPr>
      </w:pPr>
      <w:r>
        <w:rPr>
          <w:rFonts w:ascii="Verdana" w:hAnsi="Verdana" w:cs="Tahoma"/>
          <w:bCs/>
          <w:noProof/>
          <w:sz w:val="16"/>
          <w:szCs w:val="16"/>
        </w:rPr>
        <w:pict>
          <v:shape id="_x0000_s1038" type="#_x0000_t16" style="position:absolute;margin-left:2.15pt;margin-top:3.7pt;width:11.6pt;height:10.45pt;z-index:251672576"/>
        </w:pict>
      </w:r>
    </w:p>
    <w:p w:rsidR="009E44D4" w:rsidRPr="009E44D4" w:rsidRDefault="009E44D4" w:rsidP="009E44D4">
      <w:pPr>
        <w:pStyle w:val="a7"/>
        <w:tabs>
          <w:tab w:val="num" w:pos="1200"/>
        </w:tabs>
        <w:spacing w:line="240" w:lineRule="auto"/>
        <w:rPr>
          <w:rFonts w:cs="Tahoma"/>
          <w:bCs/>
          <w:sz w:val="16"/>
          <w:szCs w:val="16"/>
        </w:rPr>
      </w:pPr>
      <w:r w:rsidRPr="009E44D4">
        <w:rPr>
          <w:rFonts w:cs="Tahoma"/>
          <w:bCs/>
          <w:sz w:val="16"/>
          <w:szCs w:val="16"/>
        </w:rPr>
        <w:t xml:space="preserve">       </w:t>
      </w:r>
      <w:r w:rsidRPr="009E44D4">
        <w:rPr>
          <w:rFonts w:cs="Tahoma"/>
          <w:sz w:val="16"/>
          <w:szCs w:val="16"/>
        </w:rPr>
        <w:t xml:space="preserve">Υπεραξία = </w:t>
      </w:r>
      <w:r w:rsidRPr="009E44D4">
        <w:rPr>
          <w:rFonts w:cs="Tahoma"/>
          <w:sz w:val="16"/>
          <w:szCs w:val="16"/>
          <w:lang w:val="en-US"/>
        </w:rPr>
        <w:t>Co</w:t>
      </w:r>
      <w:r w:rsidRPr="009E44D4">
        <w:rPr>
          <w:rFonts w:cs="Tahoma"/>
          <w:sz w:val="16"/>
          <w:szCs w:val="16"/>
        </w:rPr>
        <w:t>[(1+</w:t>
      </w:r>
      <w:proofErr w:type="spellStart"/>
      <w:r w:rsidRPr="009E44D4">
        <w:rPr>
          <w:rFonts w:cs="Tahoma"/>
          <w:sz w:val="16"/>
          <w:szCs w:val="16"/>
          <w:lang w:val="en-US"/>
        </w:rPr>
        <w:t>i</w:t>
      </w:r>
      <w:proofErr w:type="spellEnd"/>
      <w:r w:rsidRPr="009E44D4">
        <w:rPr>
          <w:rFonts w:cs="Tahoma"/>
          <w:sz w:val="16"/>
          <w:szCs w:val="16"/>
        </w:rPr>
        <w:t>)</w:t>
      </w:r>
      <w:r w:rsidR="004E4BEE" w:rsidRPr="004E4BEE">
        <w:rPr>
          <w:rFonts w:cs="Tahoma"/>
          <w:sz w:val="16"/>
          <w:szCs w:val="16"/>
        </w:rPr>
        <w:t>^</w:t>
      </w:r>
      <w:r w:rsidR="004E4BEE">
        <w:rPr>
          <w:rFonts w:cs="Tahoma"/>
          <w:sz w:val="16"/>
          <w:szCs w:val="16"/>
          <w:lang w:val="en-US"/>
        </w:rPr>
        <w:t>n</w:t>
      </w:r>
      <w:r w:rsidR="00116D5F" w:rsidRPr="00116D5F">
        <w:rPr>
          <w:rFonts w:cs="Tahoma"/>
          <w:sz w:val="16"/>
          <w:szCs w:val="16"/>
        </w:rPr>
        <w:t xml:space="preserve"> </w:t>
      </w:r>
      <w:r w:rsidRPr="009E44D4">
        <w:rPr>
          <w:rFonts w:cs="Tahoma"/>
          <w:sz w:val="16"/>
          <w:szCs w:val="16"/>
        </w:rPr>
        <w:t>+1]*(Συνολική Υφιστάμενη Δόμηση/Συνολική Επιτρεπόμενη Δόμηση) * Μέση Τεχνική Απαξίωση.</w:t>
      </w:r>
    </w:p>
    <w:p w:rsidR="009E44D4" w:rsidRPr="009E44D4" w:rsidRDefault="00A74670" w:rsidP="009E44D4">
      <w:pPr>
        <w:jc w:val="both"/>
        <w:rPr>
          <w:rFonts w:ascii="Verdana" w:hAnsi="Verdana" w:cs="Tahoma"/>
          <w:bCs/>
          <w:sz w:val="16"/>
          <w:szCs w:val="16"/>
        </w:rPr>
      </w:pPr>
      <w:r>
        <w:rPr>
          <w:rFonts w:ascii="Verdana" w:hAnsi="Verdana" w:cs="Tahoma"/>
          <w:bCs/>
          <w:noProof/>
          <w:sz w:val="16"/>
          <w:szCs w:val="16"/>
        </w:rPr>
        <w:pict>
          <v:shape id="_x0000_s1040" type="#_x0000_t16" style="position:absolute;left:0;text-align:left;margin-left:2.15pt;margin-top:7.25pt;width:11.6pt;height:10.45pt;z-index:251674624"/>
        </w:pict>
      </w:r>
    </w:p>
    <w:p w:rsidR="009E44D4" w:rsidRPr="009E44D4" w:rsidRDefault="009E44D4" w:rsidP="009E44D4">
      <w:pPr>
        <w:jc w:val="both"/>
        <w:rPr>
          <w:rFonts w:ascii="Verdana" w:hAnsi="Verdana" w:cs="Tahoma"/>
          <w:sz w:val="16"/>
          <w:szCs w:val="16"/>
        </w:rPr>
      </w:pPr>
      <w:r w:rsidRPr="009E44D4">
        <w:rPr>
          <w:rFonts w:ascii="Verdana" w:hAnsi="Verdana" w:cs="Tahoma"/>
          <w:bCs/>
          <w:sz w:val="16"/>
          <w:szCs w:val="16"/>
        </w:rPr>
        <w:t xml:space="preserve">       </w:t>
      </w:r>
      <w:r w:rsidRPr="009E44D4">
        <w:rPr>
          <w:rFonts w:ascii="Verdana" w:hAnsi="Verdana" w:cs="Tahoma"/>
          <w:sz w:val="16"/>
          <w:szCs w:val="16"/>
        </w:rPr>
        <w:t xml:space="preserve">Υπεραξία = </w:t>
      </w:r>
      <w:r w:rsidRPr="009E44D4">
        <w:rPr>
          <w:rFonts w:ascii="Verdana" w:hAnsi="Verdana" w:cs="Tahoma"/>
          <w:sz w:val="16"/>
          <w:szCs w:val="16"/>
          <w:lang w:val="en-US"/>
        </w:rPr>
        <w:t>Co</w:t>
      </w:r>
      <w:r w:rsidRPr="009E44D4">
        <w:rPr>
          <w:rFonts w:ascii="Verdana" w:hAnsi="Verdana" w:cs="Tahoma"/>
          <w:sz w:val="16"/>
          <w:szCs w:val="16"/>
        </w:rPr>
        <w:t>[(1+</w:t>
      </w:r>
      <w:proofErr w:type="spellStart"/>
      <w:r w:rsidRPr="009E44D4">
        <w:rPr>
          <w:rFonts w:ascii="Verdana" w:hAnsi="Verdana" w:cs="Tahoma"/>
          <w:sz w:val="16"/>
          <w:szCs w:val="16"/>
          <w:lang w:val="en-US"/>
        </w:rPr>
        <w:t>i</w:t>
      </w:r>
      <w:proofErr w:type="spellEnd"/>
      <w:r w:rsidRPr="009E44D4">
        <w:rPr>
          <w:rFonts w:ascii="Verdana" w:hAnsi="Verdana" w:cs="Tahoma"/>
          <w:sz w:val="16"/>
          <w:szCs w:val="16"/>
        </w:rPr>
        <w:t>)</w:t>
      </w:r>
      <w:r w:rsidR="004E4BEE" w:rsidRPr="004E4BEE">
        <w:rPr>
          <w:rFonts w:ascii="Verdana" w:hAnsi="Verdana" w:cs="Tahoma"/>
          <w:sz w:val="16"/>
          <w:szCs w:val="16"/>
        </w:rPr>
        <w:t>^</w:t>
      </w:r>
      <w:r w:rsidR="004E4BEE">
        <w:rPr>
          <w:rFonts w:ascii="Verdana" w:hAnsi="Verdana" w:cs="Tahoma"/>
          <w:sz w:val="16"/>
          <w:szCs w:val="16"/>
          <w:lang w:val="en-US"/>
        </w:rPr>
        <w:t>n</w:t>
      </w:r>
      <w:r w:rsidR="00116D5F" w:rsidRPr="00116D5F">
        <w:rPr>
          <w:rFonts w:ascii="Verdana" w:hAnsi="Verdana" w:cs="Tahoma"/>
          <w:sz w:val="16"/>
          <w:szCs w:val="16"/>
        </w:rPr>
        <w:t xml:space="preserve"> </w:t>
      </w:r>
      <w:r w:rsidRPr="009E44D4">
        <w:rPr>
          <w:rFonts w:ascii="Verdana" w:hAnsi="Verdana" w:cs="Tahoma"/>
          <w:sz w:val="16"/>
          <w:szCs w:val="16"/>
        </w:rPr>
        <w:t>-1]*(Συνολική Υφιστάμενη Δόμηση/Συνολική Επιτρεπόμενη Δόμηση) * Διαφορά Τεχνικής Απαξίωση.</w:t>
      </w:r>
    </w:p>
    <w:p w:rsidR="009E44D4" w:rsidRPr="009E44D4" w:rsidRDefault="009E44D4" w:rsidP="009E44D4">
      <w:pPr>
        <w:jc w:val="both"/>
        <w:rPr>
          <w:rFonts w:ascii="Verdana" w:hAnsi="Verdana" w:cs="Tahoma"/>
          <w:sz w:val="16"/>
          <w:szCs w:val="16"/>
        </w:rPr>
      </w:pPr>
    </w:p>
    <w:p w:rsidR="009E44D4" w:rsidRPr="009E44D4" w:rsidRDefault="009E44D4" w:rsidP="009E44D4">
      <w:pPr>
        <w:autoSpaceDE w:val="0"/>
        <w:autoSpaceDN w:val="0"/>
        <w:adjustRightInd w:val="0"/>
        <w:rPr>
          <w:rFonts w:ascii="Verdana" w:hAnsi="Verdana" w:cs="Tahoma"/>
          <w:sz w:val="16"/>
          <w:szCs w:val="16"/>
        </w:rPr>
      </w:pPr>
    </w:p>
    <w:p w:rsidR="009E44D4" w:rsidRPr="009E44D4" w:rsidRDefault="003920F5" w:rsidP="009E44D4">
      <w:pPr>
        <w:autoSpaceDE w:val="0"/>
        <w:autoSpaceDN w:val="0"/>
        <w:adjustRightInd w:val="0"/>
        <w:rPr>
          <w:rFonts w:ascii="Verdana" w:hAnsi="Verdana" w:cs="Tahoma"/>
          <w:sz w:val="16"/>
          <w:szCs w:val="16"/>
        </w:rPr>
      </w:pPr>
      <w:r>
        <w:rPr>
          <w:rFonts w:ascii="Verdana" w:hAnsi="Verdana" w:cs="Tahoma"/>
          <w:sz w:val="16"/>
          <w:szCs w:val="16"/>
        </w:rPr>
        <w:t>1</w:t>
      </w:r>
      <w:r w:rsidR="00F35F25">
        <w:rPr>
          <w:rFonts w:ascii="Verdana" w:hAnsi="Verdana" w:cs="Tahoma"/>
          <w:sz w:val="16"/>
          <w:szCs w:val="16"/>
        </w:rPr>
        <w:t>4</w:t>
      </w:r>
      <w:r w:rsidR="009E44D4" w:rsidRPr="009E44D4">
        <w:rPr>
          <w:rFonts w:ascii="Verdana" w:hAnsi="Verdana" w:cs="Tahoma"/>
          <w:sz w:val="16"/>
          <w:szCs w:val="16"/>
        </w:rPr>
        <w:t>. Τα βασικά μοντέλα που εφαρμόζονται στην μέθοδο των κερδών είναι:</w:t>
      </w:r>
    </w:p>
    <w:p w:rsidR="009E44D4" w:rsidRPr="009E44D4" w:rsidRDefault="009E44D4" w:rsidP="009E44D4">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r w:rsidR="003920F5">
        <w:rPr>
          <w:rFonts w:ascii="Verdana" w:hAnsi="Verdana" w:cs="Tahoma"/>
          <w:bCs/>
          <w:sz w:val="16"/>
          <w:szCs w:val="16"/>
        </w:rPr>
        <w:t>………………………………………………………………………………</w:t>
      </w:r>
    </w:p>
    <w:p w:rsidR="009E44D4" w:rsidRPr="009E44D4" w:rsidRDefault="009E44D4" w:rsidP="009E44D4">
      <w:pPr>
        <w:autoSpaceDE w:val="0"/>
        <w:autoSpaceDN w:val="0"/>
        <w:adjustRightInd w:val="0"/>
        <w:jc w:val="both"/>
        <w:rPr>
          <w:rFonts w:ascii="Verdana" w:hAnsi="Verdana" w:cs="Tahoma"/>
          <w:b/>
          <w:bCs/>
          <w:sz w:val="16"/>
          <w:szCs w:val="16"/>
        </w:rPr>
      </w:pPr>
      <w:r w:rsidRPr="009E44D4">
        <w:rPr>
          <w:rFonts w:ascii="Verdana" w:hAnsi="Verdana" w:cs="Tahoma"/>
          <w:bCs/>
          <w:sz w:val="16"/>
          <w:szCs w:val="16"/>
        </w:rPr>
        <w:t>……………………………………………………………………………………………………………………………………………………………………………………………………</w:t>
      </w:r>
    </w:p>
    <w:p w:rsidR="009E44D4" w:rsidRDefault="009E44D4" w:rsidP="00D8093C">
      <w:pPr>
        <w:autoSpaceDE w:val="0"/>
        <w:autoSpaceDN w:val="0"/>
        <w:adjustRightInd w:val="0"/>
        <w:jc w:val="both"/>
        <w:rPr>
          <w:rFonts w:ascii="Verdana" w:hAnsi="Verdana" w:cs="Tahoma"/>
          <w:b/>
          <w:bCs/>
          <w:sz w:val="16"/>
          <w:szCs w:val="16"/>
        </w:rPr>
      </w:pPr>
    </w:p>
    <w:p w:rsidR="009E44D4" w:rsidRDefault="009E44D4" w:rsidP="00D8093C">
      <w:pPr>
        <w:autoSpaceDE w:val="0"/>
        <w:autoSpaceDN w:val="0"/>
        <w:adjustRightInd w:val="0"/>
        <w:jc w:val="both"/>
        <w:rPr>
          <w:rFonts w:ascii="Verdana" w:hAnsi="Verdana" w:cs="Tahoma"/>
          <w:b/>
          <w:bCs/>
          <w:sz w:val="16"/>
          <w:szCs w:val="16"/>
        </w:rPr>
      </w:pPr>
    </w:p>
    <w:p w:rsidR="00D8093C" w:rsidRDefault="00D8093C" w:rsidP="00D8093C">
      <w:pPr>
        <w:autoSpaceDE w:val="0"/>
        <w:autoSpaceDN w:val="0"/>
        <w:adjustRightInd w:val="0"/>
        <w:jc w:val="both"/>
        <w:rPr>
          <w:rFonts w:ascii="Verdana" w:hAnsi="Verdana" w:cs="Tahoma"/>
          <w:b/>
          <w:bCs/>
          <w:sz w:val="16"/>
          <w:szCs w:val="16"/>
        </w:rPr>
      </w:pPr>
      <w:r w:rsidRPr="00B50255">
        <w:rPr>
          <w:rFonts w:ascii="Verdana" w:hAnsi="Verdana" w:cs="Tahoma"/>
          <w:b/>
          <w:bCs/>
          <w:sz w:val="16"/>
          <w:szCs w:val="16"/>
        </w:rPr>
        <w:t>ΘΕΜΑ 2.</w:t>
      </w:r>
    </w:p>
    <w:p w:rsidR="00845907" w:rsidRDefault="00A3375E" w:rsidP="00D8093C">
      <w:pPr>
        <w:autoSpaceDE w:val="0"/>
        <w:autoSpaceDN w:val="0"/>
        <w:adjustRightInd w:val="0"/>
        <w:jc w:val="both"/>
        <w:rPr>
          <w:rFonts w:ascii="Verdana" w:hAnsi="Verdana" w:cs="Tahoma"/>
          <w:bCs/>
          <w:sz w:val="16"/>
          <w:szCs w:val="16"/>
        </w:rPr>
      </w:pPr>
      <w:r>
        <w:rPr>
          <w:rFonts w:ascii="Verdana" w:hAnsi="Verdana" w:cs="Tahoma"/>
          <w:bCs/>
          <w:sz w:val="16"/>
          <w:szCs w:val="16"/>
        </w:rPr>
        <w:t xml:space="preserve">2.α. </w:t>
      </w:r>
      <w:r w:rsidRPr="00A3375E">
        <w:rPr>
          <w:rFonts w:ascii="Verdana" w:hAnsi="Verdana" w:cs="Tahoma"/>
          <w:bCs/>
          <w:sz w:val="16"/>
          <w:szCs w:val="16"/>
        </w:rPr>
        <w:t xml:space="preserve">Να εκτιμηθεί η </w:t>
      </w:r>
      <w:r w:rsidR="00CD4144">
        <w:rPr>
          <w:rFonts w:ascii="Verdana" w:hAnsi="Verdana" w:cs="Tahoma"/>
          <w:bCs/>
          <w:sz w:val="16"/>
          <w:szCs w:val="16"/>
        </w:rPr>
        <w:t>τρέχουσα</w:t>
      </w:r>
      <w:r w:rsidRPr="00A3375E">
        <w:rPr>
          <w:rFonts w:ascii="Verdana" w:hAnsi="Verdana" w:cs="Tahoma"/>
          <w:bCs/>
          <w:sz w:val="16"/>
          <w:szCs w:val="16"/>
        </w:rPr>
        <w:t xml:space="preserve"> αξία γραφει</w:t>
      </w:r>
      <w:r>
        <w:rPr>
          <w:rFonts w:ascii="Verdana" w:hAnsi="Verdana" w:cs="Tahoma"/>
          <w:bCs/>
          <w:sz w:val="16"/>
          <w:szCs w:val="16"/>
        </w:rPr>
        <w:t>α</w:t>
      </w:r>
      <w:r w:rsidR="00911CA2">
        <w:rPr>
          <w:rFonts w:ascii="Verdana" w:hAnsi="Verdana" w:cs="Tahoma"/>
          <w:bCs/>
          <w:sz w:val="16"/>
          <w:szCs w:val="16"/>
        </w:rPr>
        <w:t>κού χώρου Α</w:t>
      </w:r>
      <w:r w:rsidR="003447D1">
        <w:rPr>
          <w:rFonts w:ascii="Verdana" w:hAnsi="Verdana" w:cs="Tahoma"/>
          <w:bCs/>
          <w:sz w:val="16"/>
          <w:szCs w:val="16"/>
        </w:rPr>
        <w:t xml:space="preserve"> ορόφου επιφανείας 6</w:t>
      </w:r>
      <w:r w:rsidR="003447D1" w:rsidRPr="003447D1">
        <w:rPr>
          <w:rFonts w:ascii="Verdana" w:hAnsi="Verdana" w:cs="Tahoma"/>
          <w:bCs/>
          <w:sz w:val="16"/>
          <w:szCs w:val="16"/>
        </w:rPr>
        <w:t>0</w:t>
      </w:r>
      <w:r w:rsidRPr="00A3375E">
        <w:rPr>
          <w:rFonts w:ascii="Verdana" w:hAnsi="Verdana" w:cs="Tahoma"/>
          <w:bCs/>
          <w:sz w:val="16"/>
          <w:szCs w:val="16"/>
        </w:rPr>
        <w:t xml:space="preserve"> τμ σ</w:t>
      </w:r>
      <w:r w:rsidR="00CD4144">
        <w:rPr>
          <w:rFonts w:ascii="Verdana" w:hAnsi="Verdana" w:cs="Tahoma"/>
          <w:bCs/>
          <w:sz w:val="16"/>
          <w:szCs w:val="16"/>
        </w:rPr>
        <w:t xml:space="preserve">ε κεντρικότατο δρόμο της πόλεως του </w:t>
      </w:r>
      <w:r w:rsidRPr="00A3375E">
        <w:rPr>
          <w:rFonts w:ascii="Verdana" w:hAnsi="Verdana" w:cs="Tahoma"/>
          <w:bCs/>
          <w:sz w:val="16"/>
          <w:szCs w:val="16"/>
        </w:rPr>
        <w:t xml:space="preserve">Ηρακλείου. Παρόμοιοι επαγγελματικοί χώροι περίπου </w:t>
      </w:r>
      <w:r>
        <w:rPr>
          <w:rFonts w:ascii="Verdana" w:hAnsi="Verdana" w:cs="Tahoma"/>
          <w:bCs/>
          <w:sz w:val="16"/>
          <w:szCs w:val="16"/>
        </w:rPr>
        <w:t>75</w:t>
      </w:r>
      <w:r w:rsidRPr="00A3375E">
        <w:rPr>
          <w:rFonts w:ascii="Verdana" w:hAnsi="Verdana" w:cs="Tahoma"/>
          <w:bCs/>
          <w:sz w:val="16"/>
          <w:szCs w:val="16"/>
        </w:rPr>
        <w:t xml:space="preserve"> τμ έχουν μισθωθεί για 5 έτη προς €</w:t>
      </w:r>
      <w:r w:rsidR="00690B02">
        <w:rPr>
          <w:rFonts w:ascii="Verdana" w:hAnsi="Verdana" w:cs="Tahoma"/>
          <w:bCs/>
          <w:sz w:val="16"/>
          <w:szCs w:val="16"/>
        </w:rPr>
        <w:t>81</w:t>
      </w:r>
      <w:r w:rsidRPr="00A3375E">
        <w:rPr>
          <w:rFonts w:ascii="Verdana" w:hAnsi="Verdana" w:cs="Tahoma"/>
          <w:bCs/>
          <w:sz w:val="16"/>
          <w:szCs w:val="16"/>
        </w:rPr>
        <w:t>0,00 το μήνα για το πρώτο έτος με αύξηση 3</w:t>
      </w:r>
      <w:r w:rsidR="00CD4144">
        <w:rPr>
          <w:rFonts w:ascii="Verdana" w:hAnsi="Verdana" w:cs="Tahoma"/>
          <w:bCs/>
          <w:sz w:val="16"/>
          <w:szCs w:val="16"/>
        </w:rPr>
        <w:t>,50</w:t>
      </w:r>
      <w:r w:rsidRPr="00A3375E">
        <w:rPr>
          <w:rFonts w:ascii="Verdana" w:hAnsi="Verdana" w:cs="Tahoma"/>
          <w:bCs/>
          <w:sz w:val="16"/>
          <w:szCs w:val="16"/>
        </w:rPr>
        <w:t xml:space="preserve">% κάθε έτος. Το προεξοφλητικό επιτόκιο ανέρχεται σε </w:t>
      </w:r>
      <w:r w:rsidR="00747396">
        <w:rPr>
          <w:rFonts w:ascii="Verdana" w:hAnsi="Verdana" w:cs="Tahoma"/>
          <w:bCs/>
          <w:sz w:val="16"/>
          <w:szCs w:val="16"/>
        </w:rPr>
        <w:t>4,00</w:t>
      </w:r>
      <w:r w:rsidRPr="00A3375E">
        <w:rPr>
          <w:rFonts w:ascii="Verdana" w:hAnsi="Verdana" w:cs="Tahoma"/>
          <w:bCs/>
          <w:sz w:val="16"/>
          <w:szCs w:val="16"/>
        </w:rPr>
        <w:t>%.</w:t>
      </w:r>
      <w:r w:rsidR="00845907">
        <w:rPr>
          <w:rFonts w:ascii="Verdana" w:hAnsi="Verdana" w:cs="Tahoma"/>
          <w:bCs/>
          <w:sz w:val="16"/>
          <w:szCs w:val="16"/>
        </w:rPr>
        <w:t>(</w:t>
      </w:r>
      <w:r w:rsidR="00716EAD">
        <w:rPr>
          <w:rFonts w:ascii="Verdana" w:hAnsi="Verdana" w:cs="Tahoma"/>
          <w:bCs/>
          <w:sz w:val="16"/>
          <w:szCs w:val="16"/>
        </w:rPr>
        <w:t>3</w:t>
      </w:r>
      <w:r w:rsidR="00845907">
        <w:rPr>
          <w:rFonts w:ascii="Verdana" w:hAnsi="Verdana" w:cs="Tahoma"/>
          <w:bCs/>
          <w:sz w:val="16"/>
          <w:szCs w:val="16"/>
        </w:rPr>
        <w:t>,50 μονάδες).</w:t>
      </w:r>
      <w:r w:rsidR="00845907" w:rsidRPr="00D30924">
        <w:rPr>
          <w:rFonts w:ascii="Verdana" w:hAnsi="Verdana" w:cs="Tahoma"/>
          <w:bCs/>
          <w:sz w:val="16"/>
          <w:szCs w:val="16"/>
        </w:rPr>
        <w:t xml:space="preserve"> </w:t>
      </w:r>
    </w:p>
    <w:p w:rsidR="000B2FA1" w:rsidRDefault="000B2FA1" w:rsidP="00D8093C">
      <w:pPr>
        <w:autoSpaceDE w:val="0"/>
        <w:autoSpaceDN w:val="0"/>
        <w:adjustRightInd w:val="0"/>
        <w:jc w:val="both"/>
        <w:rPr>
          <w:rFonts w:ascii="Verdana" w:hAnsi="Verdana" w:cs="Tahoma"/>
          <w:bCs/>
          <w:sz w:val="16"/>
          <w:szCs w:val="16"/>
        </w:rPr>
      </w:pPr>
    </w:p>
    <w:p w:rsidR="0062236D" w:rsidRPr="00A3375E" w:rsidRDefault="00845907" w:rsidP="00D8093C">
      <w:pPr>
        <w:autoSpaceDE w:val="0"/>
        <w:autoSpaceDN w:val="0"/>
        <w:adjustRightInd w:val="0"/>
        <w:jc w:val="both"/>
        <w:rPr>
          <w:rFonts w:ascii="Verdana" w:hAnsi="Verdana" w:cs="Tahoma"/>
          <w:bCs/>
          <w:sz w:val="16"/>
          <w:szCs w:val="16"/>
        </w:rPr>
      </w:pPr>
      <w:r>
        <w:rPr>
          <w:rFonts w:ascii="Verdana" w:hAnsi="Verdana" w:cs="Tahoma"/>
          <w:bCs/>
          <w:sz w:val="16"/>
          <w:szCs w:val="16"/>
        </w:rPr>
        <w:t>Δίνονται τα παρακάτω στοιχεία:</w:t>
      </w:r>
    </w:p>
    <w:p w:rsidR="00CD2B5A" w:rsidRP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 xml:space="preserve">Πληθωρισμός </w:t>
      </w:r>
      <w:r>
        <w:rPr>
          <w:rFonts w:ascii="Verdana" w:hAnsi="Verdana" w:cs="Tahoma"/>
          <w:sz w:val="16"/>
          <w:szCs w:val="16"/>
        </w:rPr>
        <w:t>2,40</w:t>
      </w:r>
      <w:r w:rsidRPr="00CD2B5A">
        <w:rPr>
          <w:rFonts w:ascii="Verdana" w:hAnsi="Verdana" w:cs="Tahoma"/>
          <w:sz w:val="16"/>
          <w:szCs w:val="16"/>
        </w:rPr>
        <w:t>%</w:t>
      </w:r>
    </w:p>
    <w:p w:rsidR="00CD2B5A" w:rsidRP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Επιτόκιο Κεντρικής Ευρωπαϊκής Τράπεζας 1,</w:t>
      </w:r>
      <w:r>
        <w:rPr>
          <w:rFonts w:ascii="Verdana" w:hAnsi="Verdana" w:cs="Tahoma"/>
          <w:sz w:val="16"/>
          <w:szCs w:val="16"/>
        </w:rPr>
        <w:t>00</w:t>
      </w:r>
      <w:r w:rsidRPr="00CD2B5A">
        <w:rPr>
          <w:rFonts w:ascii="Verdana" w:hAnsi="Verdana" w:cs="Tahoma"/>
          <w:sz w:val="16"/>
          <w:szCs w:val="16"/>
        </w:rPr>
        <w:t>%</w:t>
      </w:r>
      <w:r w:rsidR="00A3375E">
        <w:rPr>
          <w:rFonts w:ascii="Verdana" w:hAnsi="Verdana" w:cs="Tahoma"/>
          <w:sz w:val="16"/>
          <w:szCs w:val="16"/>
        </w:rPr>
        <w:t>.</w:t>
      </w:r>
    </w:p>
    <w:p w:rsidR="00CD2B5A" w:rsidRP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 xml:space="preserve">Ετήσια Τεχνική Απαξίωση του Ακινήτου </w:t>
      </w:r>
      <w:r w:rsidR="00074401">
        <w:rPr>
          <w:rFonts w:ascii="Verdana" w:hAnsi="Verdana" w:cs="Tahoma"/>
          <w:sz w:val="16"/>
          <w:szCs w:val="16"/>
        </w:rPr>
        <w:t>2,05</w:t>
      </w:r>
      <w:r w:rsidRPr="00CD2B5A">
        <w:rPr>
          <w:rFonts w:ascii="Verdana" w:hAnsi="Verdana" w:cs="Tahoma"/>
          <w:sz w:val="16"/>
          <w:szCs w:val="16"/>
        </w:rPr>
        <w:t>%</w:t>
      </w:r>
      <w:r w:rsidR="00A3375E">
        <w:rPr>
          <w:rFonts w:ascii="Verdana" w:hAnsi="Verdana" w:cs="Tahoma"/>
          <w:sz w:val="16"/>
          <w:szCs w:val="16"/>
        </w:rPr>
        <w:t>.</w:t>
      </w:r>
    </w:p>
    <w:p w:rsidR="00CD2B5A" w:rsidRP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 xml:space="preserve">Ετήσια Μεταβολή Αξιών Ακινήτου </w:t>
      </w:r>
      <w:r w:rsidR="0006601D">
        <w:rPr>
          <w:rFonts w:ascii="Verdana" w:hAnsi="Verdana" w:cs="Tahoma"/>
          <w:sz w:val="16"/>
          <w:szCs w:val="16"/>
        </w:rPr>
        <w:t>0,0</w:t>
      </w:r>
      <w:r w:rsidRPr="00CD2B5A">
        <w:rPr>
          <w:rFonts w:ascii="Verdana" w:hAnsi="Verdana" w:cs="Tahoma"/>
          <w:sz w:val="16"/>
          <w:szCs w:val="16"/>
        </w:rPr>
        <w:t>0%</w:t>
      </w:r>
      <w:r w:rsidR="00A3375E">
        <w:rPr>
          <w:rFonts w:ascii="Verdana" w:hAnsi="Verdana" w:cs="Tahoma"/>
          <w:sz w:val="16"/>
          <w:szCs w:val="16"/>
        </w:rPr>
        <w:t>.</w:t>
      </w:r>
    </w:p>
    <w:p w:rsid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 xml:space="preserve">Κίνδυνος μη Μίσθωσης του Ακινήτου </w:t>
      </w:r>
      <w:r w:rsidR="007008AB">
        <w:rPr>
          <w:rFonts w:ascii="Verdana" w:hAnsi="Verdana" w:cs="Tahoma"/>
          <w:sz w:val="16"/>
          <w:szCs w:val="16"/>
        </w:rPr>
        <w:t>1,4</w:t>
      </w:r>
      <w:r w:rsidRPr="00CD2B5A">
        <w:rPr>
          <w:rFonts w:ascii="Verdana" w:hAnsi="Verdana" w:cs="Tahoma"/>
          <w:sz w:val="16"/>
          <w:szCs w:val="16"/>
        </w:rPr>
        <w:t>0%</w:t>
      </w:r>
      <w:r w:rsidR="00A3375E">
        <w:rPr>
          <w:rFonts w:ascii="Verdana" w:hAnsi="Verdana" w:cs="Tahoma"/>
          <w:sz w:val="16"/>
          <w:szCs w:val="16"/>
        </w:rPr>
        <w:t>.</w:t>
      </w:r>
    </w:p>
    <w:p w:rsidR="00A3375E" w:rsidRDefault="00A3375E" w:rsidP="00CD2B5A">
      <w:pPr>
        <w:autoSpaceDE w:val="0"/>
        <w:autoSpaceDN w:val="0"/>
        <w:adjustRightInd w:val="0"/>
        <w:rPr>
          <w:rFonts w:ascii="Verdana" w:hAnsi="Verdana" w:cs="Tahoma"/>
          <w:sz w:val="16"/>
          <w:szCs w:val="16"/>
        </w:rPr>
      </w:pPr>
    </w:p>
    <w:p w:rsidR="00A3375E" w:rsidRPr="00CD2B5A" w:rsidRDefault="00A3375E" w:rsidP="006C10F9">
      <w:pPr>
        <w:autoSpaceDE w:val="0"/>
        <w:autoSpaceDN w:val="0"/>
        <w:adjustRightInd w:val="0"/>
        <w:jc w:val="both"/>
        <w:rPr>
          <w:rFonts w:ascii="Verdana" w:hAnsi="Verdana" w:cs="Tahoma"/>
          <w:sz w:val="16"/>
          <w:szCs w:val="16"/>
        </w:rPr>
      </w:pPr>
      <w:r>
        <w:rPr>
          <w:rFonts w:ascii="Verdana" w:hAnsi="Verdana" w:cs="Tahoma"/>
          <w:sz w:val="16"/>
          <w:szCs w:val="16"/>
        </w:rPr>
        <w:t xml:space="preserve">2.β. </w:t>
      </w:r>
      <w:r w:rsidRPr="00A3375E">
        <w:rPr>
          <w:rFonts w:ascii="Verdana" w:hAnsi="Verdana" w:cs="Tahoma"/>
          <w:sz w:val="16"/>
          <w:szCs w:val="16"/>
        </w:rPr>
        <w:t xml:space="preserve">Να προσδιοριστεί η αξία του ακινήτου αν εμβόλιμα η ΕΚΤ αποφασίσει αύξηση του επιτοκίου κατά </w:t>
      </w:r>
      <w:r w:rsidR="006C10F9">
        <w:rPr>
          <w:rFonts w:ascii="Verdana" w:hAnsi="Verdana" w:cs="Tahoma"/>
          <w:sz w:val="16"/>
          <w:szCs w:val="16"/>
        </w:rPr>
        <w:t xml:space="preserve">50 </w:t>
      </w:r>
      <w:r w:rsidRPr="00A3375E">
        <w:rPr>
          <w:rFonts w:ascii="Verdana" w:hAnsi="Verdana" w:cs="Tahoma"/>
          <w:sz w:val="16"/>
          <w:szCs w:val="16"/>
        </w:rPr>
        <w:t>μ</w:t>
      </w:r>
      <w:r w:rsidR="006C10F9">
        <w:rPr>
          <w:rFonts w:ascii="Verdana" w:hAnsi="Verdana" w:cs="Tahoma"/>
          <w:sz w:val="16"/>
          <w:szCs w:val="16"/>
        </w:rPr>
        <w:t xml:space="preserve">ονάδες </w:t>
      </w:r>
      <w:r w:rsidRPr="00A3375E">
        <w:rPr>
          <w:rFonts w:ascii="Verdana" w:hAnsi="Verdana" w:cs="Tahoma"/>
          <w:sz w:val="16"/>
          <w:szCs w:val="16"/>
        </w:rPr>
        <w:t>β</w:t>
      </w:r>
      <w:r w:rsidR="006C10F9">
        <w:rPr>
          <w:rFonts w:ascii="Verdana" w:hAnsi="Verdana" w:cs="Tahoma"/>
          <w:sz w:val="16"/>
          <w:szCs w:val="16"/>
        </w:rPr>
        <w:t>άσης</w:t>
      </w:r>
      <w:r w:rsidRPr="00A3375E">
        <w:rPr>
          <w:rFonts w:ascii="Verdana" w:hAnsi="Verdana" w:cs="Tahoma"/>
          <w:sz w:val="16"/>
          <w:szCs w:val="16"/>
        </w:rPr>
        <w:t xml:space="preserve">, η πιθανότητα κινδύνου αδυναμίας μίσθωσης του ακινήτου </w:t>
      </w:r>
      <w:r w:rsidR="006C10F9">
        <w:rPr>
          <w:rFonts w:ascii="Verdana" w:hAnsi="Verdana" w:cs="Tahoma"/>
          <w:sz w:val="16"/>
          <w:szCs w:val="16"/>
        </w:rPr>
        <w:t>αυξηθεί κατά 1</w:t>
      </w:r>
      <w:r w:rsidRPr="00A3375E">
        <w:rPr>
          <w:rFonts w:ascii="Verdana" w:hAnsi="Verdana" w:cs="Tahoma"/>
          <w:sz w:val="16"/>
          <w:szCs w:val="16"/>
        </w:rPr>
        <w:t>%</w:t>
      </w:r>
      <w:r w:rsidR="006C10F9">
        <w:rPr>
          <w:rFonts w:ascii="Verdana" w:hAnsi="Verdana" w:cs="Tahoma"/>
          <w:sz w:val="16"/>
          <w:szCs w:val="16"/>
        </w:rPr>
        <w:t xml:space="preserve"> και ο πληθωρισμός αναρριχηθεί στο 3%</w:t>
      </w:r>
      <w:r w:rsidRPr="00A3375E">
        <w:rPr>
          <w:rFonts w:ascii="Verdana" w:hAnsi="Verdana" w:cs="Tahoma"/>
          <w:sz w:val="16"/>
          <w:szCs w:val="16"/>
        </w:rPr>
        <w:t xml:space="preserve"> </w:t>
      </w:r>
      <w:r w:rsidR="006C10F9">
        <w:rPr>
          <w:rFonts w:ascii="Verdana" w:hAnsi="Verdana" w:cs="Tahoma"/>
          <w:sz w:val="16"/>
          <w:szCs w:val="16"/>
        </w:rPr>
        <w:t>ενώ</w:t>
      </w:r>
      <w:r w:rsidRPr="00A3375E">
        <w:rPr>
          <w:rFonts w:ascii="Verdana" w:hAnsi="Verdana" w:cs="Tahoma"/>
          <w:sz w:val="16"/>
          <w:szCs w:val="16"/>
        </w:rPr>
        <w:t xml:space="preserve"> οι υπόλοιποι παράγοντες που επιδρούν καταλυτικά στον συντελεστή κεφαλαιοποίησης παραμ</w:t>
      </w:r>
      <w:r w:rsidR="006C10F9">
        <w:rPr>
          <w:rFonts w:ascii="Verdana" w:hAnsi="Verdana" w:cs="Tahoma"/>
          <w:sz w:val="16"/>
          <w:szCs w:val="16"/>
        </w:rPr>
        <w:t>είνουν σταθεροί</w:t>
      </w:r>
      <w:r w:rsidRPr="00A3375E">
        <w:rPr>
          <w:rFonts w:ascii="Verdana" w:hAnsi="Verdana" w:cs="Tahoma"/>
          <w:sz w:val="16"/>
          <w:szCs w:val="16"/>
        </w:rPr>
        <w:t>.</w:t>
      </w:r>
      <w:r w:rsidR="00716EAD" w:rsidRPr="00716EAD">
        <w:rPr>
          <w:rFonts w:ascii="Verdana" w:hAnsi="Verdana" w:cs="Tahoma"/>
          <w:bCs/>
          <w:sz w:val="16"/>
          <w:szCs w:val="16"/>
        </w:rPr>
        <w:t xml:space="preserve"> </w:t>
      </w:r>
      <w:r w:rsidR="00716EAD">
        <w:rPr>
          <w:rFonts w:ascii="Verdana" w:hAnsi="Verdana" w:cs="Tahoma"/>
          <w:bCs/>
          <w:sz w:val="16"/>
          <w:szCs w:val="16"/>
        </w:rPr>
        <w:t>(1,50 μονάδες).</w:t>
      </w:r>
    </w:p>
    <w:p w:rsidR="00FC6817" w:rsidRPr="007D2608" w:rsidRDefault="00FC6817" w:rsidP="00D8093C">
      <w:pPr>
        <w:autoSpaceDE w:val="0"/>
        <w:autoSpaceDN w:val="0"/>
        <w:adjustRightInd w:val="0"/>
        <w:jc w:val="both"/>
        <w:rPr>
          <w:rFonts w:ascii="Verdana" w:hAnsi="Verdana" w:cs="Tahoma"/>
          <w:bCs/>
          <w:sz w:val="16"/>
          <w:szCs w:val="16"/>
        </w:rPr>
      </w:pPr>
    </w:p>
    <w:p w:rsidR="00D8093C" w:rsidRPr="00D30924" w:rsidRDefault="00D8093C" w:rsidP="00D8093C">
      <w:pPr>
        <w:autoSpaceDE w:val="0"/>
        <w:autoSpaceDN w:val="0"/>
        <w:adjustRightInd w:val="0"/>
        <w:jc w:val="both"/>
        <w:rPr>
          <w:rFonts w:ascii="Verdana" w:hAnsi="Verdana" w:cs="Tahoma"/>
          <w:bCs/>
          <w:sz w:val="16"/>
          <w:szCs w:val="16"/>
        </w:rPr>
      </w:pPr>
    </w:p>
    <w:p w:rsidR="00D8093C" w:rsidRPr="00D30924" w:rsidRDefault="00D8093C" w:rsidP="00D8093C">
      <w:pPr>
        <w:autoSpaceDE w:val="0"/>
        <w:autoSpaceDN w:val="0"/>
        <w:adjustRightInd w:val="0"/>
        <w:jc w:val="both"/>
        <w:rPr>
          <w:rFonts w:ascii="Verdana" w:hAnsi="Verdana" w:cs="Tahoma"/>
          <w:bCs/>
          <w:sz w:val="16"/>
          <w:szCs w:val="16"/>
        </w:rPr>
      </w:pPr>
      <w:r w:rsidRPr="00D30924">
        <w:rPr>
          <w:rFonts w:ascii="Verdana" w:hAnsi="Verdana" w:cs="Tahoma"/>
          <w:bCs/>
          <w:sz w:val="16"/>
          <w:szCs w:val="16"/>
        </w:rPr>
        <w:t>ΚΑΛΗ ΕΠΙΤΥΧΙΑ.</w:t>
      </w:r>
    </w:p>
    <w:p w:rsidR="00D8093C" w:rsidRPr="00D43B5F" w:rsidRDefault="00D8093C" w:rsidP="00D8093C">
      <w:pPr>
        <w:autoSpaceDE w:val="0"/>
        <w:autoSpaceDN w:val="0"/>
        <w:adjustRightInd w:val="0"/>
        <w:jc w:val="both"/>
        <w:rPr>
          <w:rFonts w:ascii="Tahoma" w:hAnsi="Tahoma" w:cs="Tahoma"/>
          <w:bCs/>
          <w:sz w:val="18"/>
          <w:szCs w:val="18"/>
        </w:rPr>
      </w:pPr>
    </w:p>
    <w:p w:rsidR="0051539D" w:rsidRPr="00D5525E" w:rsidRDefault="0051539D" w:rsidP="00D8093C">
      <w:pPr>
        <w:rPr>
          <w:rFonts w:ascii="Verdana" w:hAnsi="Verdana" w:cs="Tahoma"/>
          <w:b/>
          <w:bCs/>
          <w:sz w:val="16"/>
          <w:szCs w:val="16"/>
        </w:rPr>
      </w:pPr>
    </w:p>
    <w:p w:rsidR="00D8093C" w:rsidRPr="0070709B" w:rsidRDefault="003F11E9" w:rsidP="00D8093C">
      <w:pPr>
        <w:rPr>
          <w:rFonts w:ascii="Verdana" w:hAnsi="Verdana" w:cs="Tahoma"/>
          <w:b/>
          <w:bCs/>
          <w:sz w:val="16"/>
          <w:szCs w:val="16"/>
        </w:rPr>
      </w:pPr>
      <w:r>
        <w:rPr>
          <w:rFonts w:ascii="Verdana" w:hAnsi="Verdana" w:cs="Tahoma"/>
          <w:b/>
          <w:noProof/>
          <w:sz w:val="16"/>
          <w:szCs w:val="16"/>
        </w:rPr>
        <w:drawing>
          <wp:inline distT="0" distB="0" distL="0" distR="0">
            <wp:extent cx="573405" cy="573405"/>
            <wp:effectExtent l="19050" t="0" r="0" b="0"/>
            <wp:docPr id="3" name="Εικόνα 3" descr="mississippi-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mississippi-clock"/>
                    <pic:cNvPicPr>
                      <a:picLocks noChangeAspect="1" noChangeArrowheads="1"/>
                    </pic:cNvPicPr>
                  </pic:nvPicPr>
                  <pic:blipFill>
                    <a:blip r:embed="rId9" cstate="print"/>
                    <a:srcRect/>
                    <a:stretch>
                      <a:fillRect/>
                    </a:stretch>
                  </pic:blipFill>
                  <pic:spPr bwMode="auto">
                    <a:xfrm>
                      <a:off x="0" y="0"/>
                      <a:ext cx="573405" cy="573405"/>
                    </a:xfrm>
                    <a:prstGeom prst="rect">
                      <a:avLst/>
                    </a:prstGeom>
                    <a:noFill/>
                    <a:ln w="9525">
                      <a:noFill/>
                      <a:miter lim="800000"/>
                      <a:headEnd/>
                      <a:tailEnd/>
                    </a:ln>
                  </pic:spPr>
                </pic:pic>
              </a:graphicData>
            </a:graphic>
          </wp:inline>
        </w:drawing>
      </w:r>
      <w:r w:rsidR="00F9729C">
        <w:rPr>
          <w:rFonts w:ascii="Verdana" w:hAnsi="Verdana" w:cs="Tahoma"/>
          <w:b/>
          <w:bCs/>
          <w:sz w:val="16"/>
          <w:szCs w:val="16"/>
        </w:rPr>
        <w:t>Διαθέσιμος Χρόνος 1</w:t>
      </w:r>
      <w:r w:rsidR="0014207E">
        <w:rPr>
          <w:rFonts w:ascii="Verdana" w:hAnsi="Verdana" w:cs="Tahoma"/>
          <w:b/>
          <w:bCs/>
          <w:sz w:val="16"/>
          <w:szCs w:val="16"/>
        </w:rPr>
        <w:t xml:space="preserve"> </w:t>
      </w:r>
      <w:r w:rsidR="00F9729C">
        <w:rPr>
          <w:rFonts w:ascii="Verdana" w:hAnsi="Verdana" w:cs="Tahoma"/>
          <w:b/>
          <w:bCs/>
          <w:sz w:val="16"/>
          <w:szCs w:val="16"/>
        </w:rPr>
        <w:t xml:space="preserve">ώρα &amp; </w:t>
      </w:r>
      <w:smartTag w:uri="urn:schemas-microsoft-com:office:smarttags" w:element="metricconverter">
        <w:smartTagPr>
          <w:attr w:name="ProductID" w:val="40’"/>
        </w:smartTagPr>
        <w:r w:rsidR="00F9729C">
          <w:rPr>
            <w:rFonts w:ascii="Verdana" w:hAnsi="Verdana" w:cs="Tahoma"/>
            <w:b/>
            <w:bCs/>
            <w:sz w:val="16"/>
            <w:szCs w:val="16"/>
          </w:rPr>
          <w:t>40</w:t>
        </w:r>
        <w:r w:rsidR="00D8093C" w:rsidRPr="0070709B">
          <w:rPr>
            <w:rFonts w:ascii="Verdana" w:hAnsi="Verdana" w:cs="Tahoma"/>
            <w:b/>
            <w:bCs/>
            <w:sz w:val="16"/>
            <w:szCs w:val="16"/>
          </w:rPr>
          <w:t>’</w:t>
        </w:r>
      </w:smartTag>
      <w:r w:rsidR="00F9729C">
        <w:rPr>
          <w:rFonts w:ascii="Verdana" w:hAnsi="Verdana" w:cs="Tahoma"/>
          <w:b/>
          <w:bCs/>
          <w:sz w:val="16"/>
          <w:szCs w:val="16"/>
        </w:rPr>
        <w:t>.</w:t>
      </w:r>
      <w:r w:rsidR="00D8093C" w:rsidRPr="0070709B">
        <w:rPr>
          <w:rFonts w:ascii="Verdana" w:hAnsi="Verdana"/>
          <w:b/>
          <w:bCs/>
          <w:sz w:val="20"/>
        </w:rPr>
        <w:t xml:space="preserve">         </w:t>
      </w:r>
    </w:p>
    <w:p w:rsidR="000A1975" w:rsidRDefault="000A1975"/>
    <w:p w:rsidR="00F9729C" w:rsidRDefault="00F9729C"/>
    <w:p w:rsidR="00F9729C" w:rsidRDefault="00F9729C"/>
    <w:p w:rsidR="00F9729C" w:rsidRDefault="00F9729C"/>
    <w:p w:rsidR="00F9729C" w:rsidRDefault="00F9729C"/>
    <w:p w:rsidR="00F9729C" w:rsidRDefault="00F9729C"/>
    <w:p w:rsidR="00F9729C" w:rsidRDefault="00F9729C"/>
    <w:p w:rsidR="00F9729C" w:rsidRDefault="00F9729C"/>
    <w:p w:rsidR="00F9729C" w:rsidRDefault="00F9729C"/>
    <w:sectPr w:rsidR="00F9729C" w:rsidSect="00D8093C">
      <w:pgSz w:w="11906" w:h="16838"/>
      <w:pgMar w:top="851" w:right="1077"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E00" w:rsidRDefault="00CD2E00">
      <w:r>
        <w:separator/>
      </w:r>
    </w:p>
  </w:endnote>
  <w:endnote w:type="continuationSeparator" w:id="0">
    <w:p w:rsidR="00CD2E00" w:rsidRDefault="00CD2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61002A87" w:usb1="80000000" w:usb2="00000008" w:usb3="00000000" w:csb0="000101FF" w:csb1="00000000"/>
  </w:font>
  <w:font w:name="UB-NewsLetter">
    <w:altName w:val="Times New Roman"/>
    <w:panose1 w:val="00000000000000000000"/>
    <w:charset w:val="A1"/>
    <w:family w:val="auto"/>
    <w:notTrueType/>
    <w:pitch w:val="default"/>
    <w:sig w:usb0="00000001" w:usb1="00000000" w:usb2="00000000" w:usb3="00000000" w:csb0="00000009" w:csb1="00000000"/>
  </w:font>
  <w:font w:name="BookAntiqua">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E00" w:rsidRDefault="00CD2E00">
      <w:r>
        <w:separator/>
      </w:r>
    </w:p>
  </w:footnote>
  <w:footnote w:type="continuationSeparator" w:id="0">
    <w:p w:rsidR="00CD2E00" w:rsidRDefault="00CD2E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DA1"/>
    <w:multiLevelType w:val="hybridMultilevel"/>
    <w:tmpl w:val="8FC8723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characterSpacingControl w:val="doNotCompress"/>
  <w:footnotePr>
    <w:footnote w:id="-1"/>
    <w:footnote w:id="0"/>
  </w:footnotePr>
  <w:endnotePr>
    <w:endnote w:id="-1"/>
    <w:endnote w:id="0"/>
  </w:endnotePr>
  <w:compat/>
  <w:rsids>
    <w:rsidRoot w:val="00D8093C"/>
    <w:rsid w:val="00013002"/>
    <w:rsid w:val="00031580"/>
    <w:rsid w:val="00033A97"/>
    <w:rsid w:val="0005099E"/>
    <w:rsid w:val="0006601D"/>
    <w:rsid w:val="00071604"/>
    <w:rsid w:val="00074401"/>
    <w:rsid w:val="00082702"/>
    <w:rsid w:val="000A1975"/>
    <w:rsid w:val="000B2FA1"/>
    <w:rsid w:val="000E088D"/>
    <w:rsid w:val="00116D5F"/>
    <w:rsid w:val="0014207E"/>
    <w:rsid w:val="00166BF7"/>
    <w:rsid w:val="001A6385"/>
    <w:rsid w:val="00241483"/>
    <w:rsid w:val="002663E4"/>
    <w:rsid w:val="002F7E8D"/>
    <w:rsid w:val="003447D1"/>
    <w:rsid w:val="003903F3"/>
    <w:rsid w:val="0039110C"/>
    <w:rsid w:val="003920F5"/>
    <w:rsid w:val="003A385D"/>
    <w:rsid w:val="003B4E37"/>
    <w:rsid w:val="003F11E9"/>
    <w:rsid w:val="003F1AF4"/>
    <w:rsid w:val="004A4422"/>
    <w:rsid w:val="004D318B"/>
    <w:rsid w:val="004E4BEE"/>
    <w:rsid w:val="004F7D44"/>
    <w:rsid w:val="0051539D"/>
    <w:rsid w:val="005473C2"/>
    <w:rsid w:val="005822CA"/>
    <w:rsid w:val="0062236D"/>
    <w:rsid w:val="00624CA7"/>
    <w:rsid w:val="00690B02"/>
    <w:rsid w:val="006C10F9"/>
    <w:rsid w:val="006D20A2"/>
    <w:rsid w:val="006F1624"/>
    <w:rsid w:val="007008AB"/>
    <w:rsid w:val="007074FD"/>
    <w:rsid w:val="00716EAD"/>
    <w:rsid w:val="00747396"/>
    <w:rsid w:val="007F487F"/>
    <w:rsid w:val="00845907"/>
    <w:rsid w:val="00851F33"/>
    <w:rsid w:val="008B2DAD"/>
    <w:rsid w:val="008D085A"/>
    <w:rsid w:val="008F7900"/>
    <w:rsid w:val="00911CA2"/>
    <w:rsid w:val="00955C61"/>
    <w:rsid w:val="009578B4"/>
    <w:rsid w:val="009A0452"/>
    <w:rsid w:val="009D78A9"/>
    <w:rsid w:val="009E44D4"/>
    <w:rsid w:val="00A3375E"/>
    <w:rsid w:val="00A41BFF"/>
    <w:rsid w:val="00A46D5C"/>
    <w:rsid w:val="00A74670"/>
    <w:rsid w:val="00A82019"/>
    <w:rsid w:val="00AB3A06"/>
    <w:rsid w:val="00AD381B"/>
    <w:rsid w:val="00AF05A7"/>
    <w:rsid w:val="00B53F43"/>
    <w:rsid w:val="00B83B9B"/>
    <w:rsid w:val="00B92649"/>
    <w:rsid w:val="00BE6D04"/>
    <w:rsid w:val="00BF195D"/>
    <w:rsid w:val="00C26D11"/>
    <w:rsid w:val="00C41B53"/>
    <w:rsid w:val="00C87A85"/>
    <w:rsid w:val="00CD2B5A"/>
    <w:rsid w:val="00CD2E00"/>
    <w:rsid w:val="00CD4144"/>
    <w:rsid w:val="00CD582C"/>
    <w:rsid w:val="00CE17A7"/>
    <w:rsid w:val="00D12A2F"/>
    <w:rsid w:val="00D5525E"/>
    <w:rsid w:val="00D8093C"/>
    <w:rsid w:val="00DA32F7"/>
    <w:rsid w:val="00DB1775"/>
    <w:rsid w:val="00DE0FE1"/>
    <w:rsid w:val="00E16B51"/>
    <w:rsid w:val="00E473D6"/>
    <w:rsid w:val="00E53B57"/>
    <w:rsid w:val="00F059D2"/>
    <w:rsid w:val="00F13F65"/>
    <w:rsid w:val="00F23976"/>
    <w:rsid w:val="00F266ED"/>
    <w:rsid w:val="00F35F25"/>
    <w:rsid w:val="00F45D96"/>
    <w:rsid w:val="00F511BD"/>
    <w:rsid w:val="00F72FDA"/>
    <w:rsid w:val="00F834CF"/>
    <w:rsid w:val="00F9729C"/>
    <w:rsid w:val="00FB5FF6"/>
    <w:rsid w:val="00FC68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93C"/>
    <w:rPr>
      <w:sz w:val="24"/>
      <w:szCs w:val="24"/>
    </w:rPr>
  </w:style>
  <w:style w:type="paragraph" w:styleId="1">
    <w:name w:val="heading 1"/>
    <w:basedOn w:val="a"/>
    <w:next w:val="a"/>
    <w:qFormat/>
    <w:rsid w:val="00D8093C"/>
    <w:pPr>
      <w:keepNext/>
      <w:jc w:val="center"/>
      <w:outlineLvl w:val="0"/>
    </w:pPr>
    <w:rPr>
      <w:b/>
      <w:bCs/>
      <w:i/>
      <w:iCs/>
      <w:sz w:val="26"/>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a2">
    <w:name w:val="No List"/>
    <w:uiPriority w:val="99"/>
    <w:semiHidden/>
    <w:unhideWhenUsed/>
  </w:style>
  <w:style w:type="paragraph" w:styleId="a3">
    <w:name w:val="Title"/>
    <w:basedOn w:val="a"/>
    <w:qFormat/>
    <w:rsid w:val="00D8093C"/>
    <w:pPr>
      <w:jc w:val="center"/>
    </w:pPr>
    <w:rPr>
      <w:b/>
      <w:bCs/>
      <w:sz w:val="26"/>
    </w:rPr>
  </w:style>
  <w:style w:type="paragraph" w:styleId="z-">
    <w:name w:val="HTML Top of Form"/>
    <w:basedOn w:val="a"/>
    <w:next w:val="a"/>
    <w:hidden/>
    <w:rsid w:val="00D8093C"/>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D8093C"/>
    <w:pPr>
      <w:pBdr>
        <w:top w:val="single" w:sz="6" w:space="1" w:color="auto"/>
      </w:pBdr>
      <w:jc w:val="center"/>
    </w:pPr>
    <w:rPr>
      <w:rFonts w:ascii="Arial" w:hAnsi="Arial" w:cs="Arial"/>
      <w:vanish/>
      <w:sz w:val="16"/>
      <w:szCs w:val="16"/>
    </w:rPr>
  </w:style>
  <w:style w:type="character" w:customStyle="1" w:styleId="large2">
    <w:name w:val="large2"/>
    <w:basedOn w:val="a0"/>
    <w:rsid w:val="00D8093C"/>
    <w:rPr>
      <w:rFonts w:ascii="Verdana" w:hAnsi="Verdana" w:hint="default"/>
      <w:b/>
      <w:bCs/>
      <w:sz w:val="20"/>
      <w:szCs w:val="20"/>
    </w:rPr>
  </w:style>
  <w:style w:type="paragraph" w:styleId="a4">
    <w:name w:val="footer"/>
    <w:basedOn w:val="a"/>
    <w:rsid w:val="00F9729C"/>
    <w:pPr>
      <w:tabs>
        <w:tab w:val="center" w:pos="4153"/>
        <w:tab w:val="right" w:pos="8306"/>
      </w:tabs>
    </w:pPr>
  </w:style>
  <w:style w:type="character" w:styleId="a5">
    <w:name w:val="page number"/>
    <w:basedOn w:val="a0"/>
    <w:rsid w:val="00F9729C"/>
  </w:style>
  <w:style w:type="paragraph" w:styleId="a6">
    <w:name w:val="Balloon Text"/>
    <w:basedOn w:val="a"/>
    <w:link w:val="Char"/>
    <w:rsid w:val="00013002"/>
    <w:rPr>
      <w:rFonts w:ascii="Tahoma" w:hAnsi="Tahoma" w:cs="Tahoma"/>
      <w:sz w:val="16"/>
      <w:szCs w:val="16"/>
    </w:rPr>
  </w:style>
  <w:style w:type="character" w:customStyle="1" w:styleId="Char">
    <w:name w:val="Κείμενο πλαισίου Char"/>
    <w:basedOn w:val="a0"/>
    <w:link w:val="a6"/>
    <w:rsid w:val="00013002"/>
    <w:rPr>
      <w:rFonts w:ascii="Tahoma" w:hAnsi="Tahoma" w:cs="Tahoma"/>
      <w:sz w:val="16"/>
      <w:szCs w:val="16"/>
    </w:rPr>
  </w:style>
  <w:style w:type="character" w:customStyle="1" w:styleId="meta-prep">
    <w:name w:val="meta-prep"/>
    <w:basedOn w:val="a0"/>
    <w:rsid w:val="00082702"/>
  </w:style>
  <w:style w:type="character" w:customStyle="1" w:styleId="entry-date">
    <w:name w:val="entry-date"/>
    <w:basedOn w:val="a0"/>
    <w:rsid w:val="00082702"/>
  </w:style>
  <w:style w:type="character" w:customStyle="1" w:styleId="by-author">
    <w:name w:val="by-author"/>
    <w:basedOn w:val="a0"/>
    <w:rsid w:val="00082702"/>
  </w:style>
  <w:style w:type="character" w:customStyle="1" w:styleId="sep">
    <w:name w:val="sep"/>
    <w:basedOn w:val="a0"/>
    <w:rsid w:val="00082702"/>
  </w:style>
  <w:style w:type="character" w:customStyle="1" w:styleId="author">
    <w:name w:val="author"/>
    <w:basedOn w:val="a0"/>
    <w:rsid w:val="00082702"/>
  </w:style>
  <w:style w:type="character" w:styleId="-">
    <w:name w:val="Hyperlink"/>
    <w:basedOn w:val="a0"/>
    <w:rsid w:val="001A6385"/>
    <w:rPr>
      <w:color w:val="0000FF" w:themeColor="hyperlink"/>
      <w:u w:val="single"/>
    </w:rPr>
  </w:style>
  <w:style w:type="paragraph" w:customStyle="1" w:styleId="a7">
    <w:name w:val="ΚΕΙΜΕΝΟ"/>
    <w:basedOn w:val="a"/>
    <w:link w:val="Char0"/>
    <w:rsid w:val="009E44D4"/>
    <w:pPr>
      <w:spacing w:line="360" w:lineRule="auto"/>
      <w:jc w:val="both"/>
    </w:pPr>
    <w:rPr>
      <w:rFonts w:ascii="Verdana" w:hAnsi="Verdana"/>
      <w:sz w:val="20"/>
      <w:lang w:eastAsia="en-US"/>
    </w:rPr>
  </w:style>
  <w:style w:type="character" w:customStyle="1" w:styleId="Char0">
    <w:name w:val="ΚΕΙΜΕΝΟ Char"/>
    <w:basedOn w:val="a0"/>
    <w:link w:val="a7"/>
    <w:rsid w:val="009E44D4"/>
    <w:rPr>
      <w:rFonts w:ascii="Verdana" w:hAnsi="Verdana"/>
      <w:szCs w:val="24"/>
      <w:lang w:eastAsia="en-US"/>
    </w:rPr>
  </w:style>
  <w:style w:type="paragraph" w:customStyle="1" w:styleId="Default">
    <w:name w:val="Default"/>
    <w:rsid w:val="009E44D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9730322">
      <w:bodyDiv w:val="1"/>
      <w:marLeft w:val="0"/>
      <w:marRight w:val="0"/>
      <w:marTop w:val="0"/>
      <w:marBottom w:val="0"/>
      <w:divBdr>
        <w:top w:val="none" w:sz="0" w:space="0" w:color="auto"/>
        <w:left w:val="none" w:sz="0" w:space="0" w:color="auto"/>
        <w:bottom w:val="none" w:sz="0" w:space="0" w:color="auto"/>
        <w:right w:val="none" w:sz="0" w:space="0" w:color="auto"/>
      </w:divBdr>
    </w:div>
    <w:div w:id="251286055">
      <w:bodyDiv w:val="1"/>
      <w:marLeft w:val="0"/>
      <w:marRight w:val="0"/>
      <w:marTop w:val="0"/>
      <w:marBottom w:val="0"/>
      <w:divBdr>
        <w:top w:val="none" w:sz="0" w:space="0" w:color="auto"/>
        <w:left w:val="none" w:sz="0" w:space="0" w:color="auto"/>
        <w:bottom w:val="none" w:sz="0" w:space="0" w:color="auto"/>
        <w:right w:val="none" w:sz="0" w:space="0" w:color="auto"/>
      </w:divBdr>
    </w:div>
    <w:div w:id="481392130">
      <w:bodyDiv w:val="1"/>
      <w:marLeft w:val="0"/>
      <w:marRight w:val="0"/>
      <w:marTop w:val="0"/>
      <w:marBottom w:val="0"/>
      <w:divBdr>
        <w:top w:val="none" w:sz="0" w:space="0" w:color="auto"/>
        <w:left w:val="none" w:sz="0" w:space="0" w:color="auto"/>
        <w:bottom w:val="none" w:sz="0" w:space="0" w:color="auto"/>
        <w:right w:val="none" w:sz="0" w:space="0" w:color="auto"/>
      </w:divBdr>
    </w:div>
    <w:div w:id="543250413">
      <w:bodyDiv w:val="1"/>
      <w:marLeft w:val="0"/>
      <w:marRight w:val="0"/>
      <w:marTop w:val="0"/>
      <w:marBottom w:val="0"/>
      <w:divBdr>
        <w:top w:val="none" w:sz="0" w:space="0" w:color="auto"/>
        <w:left w:val="none" w:sz="0" w:space="0" w:color="auto"/>
        <w:bottom w:val="none" w:sz="0" w:space="0" w:color="auto"/>
        <w:right w:val="none" w:sz="0" w:space="0" w:color="auto"/>
      </w:divBdr>
    </w:div>
    <w:div w:id="849442536">
      <w:bodyDiv w:val="1"/>
      <w:marLeft w:val="0"/>
      <w:marRight w:val="0"/>
      <w:marTop w:val="0"/>
      <w:marBottom w:val="0"/>
      <w:divBdr>
        <w:top w:val="none" w:sz="0" w:space="0" w:color="auto"/>
        <w:left w:val="none" w:sz="0" w:space="0" w:color="auto"/>
        <w:bottom w:val="none" w:sz="0" w:space="0" w:color="auto"/>
        <w:right w:val="none" w:sz="0" w:space="0" w:color="auto"/>
      </w:divBdr>
    </w:div>
    <w:div w:id="1429619871">
      <w:bodyDiv w:val="1"/>
      <w:marLeft w:val="0"/>
      <w:marRight w:val="0"/>
      <w:marTop w:val="0"/>
      <w:marBottom w:val="0"/>
      <w:divBdr>
        <w:top w:val="none" w:sz="0" w:space="0" w:color="auto"/>
        <w:left w:val="none" w:sz="0" w:space="0" w:color="auto"/>
        <w:bottom w:val="none" w:sz="0" w:space="0" w:color="auto"/>
        <w:right w:val="none" w:sz="0" w:space="0" w:color="auto"/>
      </w:divBdr>
    </w:div>
    <w:div w:id="1970670769">
      <w:bodyDiv w:val="1"/>
      <w:marLeft w:val="0"/>
      <w:marRight w:val="0"/>
      <w:marTop w:val="0"/>
      <w:marBottom w:val="0"/>
      <w:divBdr>
        <w:top w:val="none" w:sz="0" w:space="0" w:color="auto"/>
        <w:left w:val="none" w:sz="0" w:space="0" w:color="auto"/>
        <w:bottom w:val="none" w:sz="0" w:space="0" w:color="auto"/>
        <w:right w:val="none" w:sz="0" w:space="0" w:color="auto"/>
      </w:divBdr>
      <w:divsChild>
        <w:div w:id="1362169029">
          <w:marLeft w:val="0"/>
          <w:marRight w:val="0"/>
          <w:marTop w:val="262"/>
          <w:marBottom w:val="0"/>
          <w:divBdr>
            <w:top w:val="none" w:sz="0" w:space="0" w:color="auto"/>
            <w:left w:val="none" w:sz="0" w:space="0" w:color="auto"/>
            <w:bottom w:val="none" w:sz="0" w:space="0" w:color="auto"/>
            <w:right w:val="none" w:sz="0" w:space="0" w:color="auto"/>
          </w:divBdr>
          <w:divsChild>
            <w:div w:id="1750030825">
              <w:marLeft w:val="0"/>
              <w:marRight w:val="0"/>
              <w:marTop w:val="0"/>
              <w:marBottom w:val="0"/>
              <w:divBdr>
                <w:top w:val="none" w:sz="0" w:space="0" w:color="auto"/>
                <w:left w:val="none" w:sz="0" w:space="0" w:color="auto"/>
                <w:bottom w:val="none" w:sz="0" w:space="0" w:color="auto"/>
                <w:right w:val="none" w:sz="0" w:space="0" w:color="auto"/>
              </w:divBdr>
              <w:divsChild>
                <w:div w:id="931352090">
                  <w:marLeft w:val="0"/>
                  <w:marRight w:val="-3142"/>
                  <w:marTop w:val="0"/>
                  <w:marBottom w:val="0"/>
                  <w:divBdr>
                    <w:top w:val="none" w:sz="0" w:space="0" w:color="auto"/>
                    <w:left w:val="none" w:sz="0" w:space="0" w:color="auto"/>
                    <w:bottom w:val="none" w:sz="0" w:space="0" w:color="auto"/>
                    <w:right w:val="none" w:sz="0" w:space="0" w:color="auto"/>
                  </w:divBdr>
                  <w:divsChild>
                    <w:div w:id="407116506">
                      <w:marLeft w:val="262"/>
                      <w:marRight w:val="3665"/>
                      <w:marTop w:val="0"/>
                      <w:marBottom w:val="471"/>
                      <w:divBdr>
                        <w:top w:val="none" w:sz="0" w:space="0" w:color="auto"/>
                        <w:left w:val="none" w:sz="0" w:space="0" w:color="auto"/>
                        <w:bottom w:val="none" w:sz="0" w:space="0" w:color="auto"/>
                        <w:right w:val="none" w:sz="0" w:space="0" w:color="auto"/>
                      </w:divBdr>
                      <w:divsChild>
                        <w:div w:id="1160268612">
                          <w:marLeft w:val="0"/>
                          <w:marRight w:val="0"/>
                          <w:marTop w:val="0"/>
                          <w:marBottom w:val="0"/>
                          <w:divBdr>
                            <w:top w:val="none" w:sz="0" w:space="0" w:color="auto"/>
                            <w:left w:val="none" w:sz="0" w:space="0" w:color="auto"/>
                            <w:bottom w:val="none" w:sz="0" w:space="0" w:color="auto"/>
                            <w:right w:val="none" w:sz="0" w:space="0" w:color="auto"/>
                          </w:divBdr>
                          <w:divsChild>
                            <w:div w:id="1151365279">
                              <w:marLeft w:val="0"/>
                              <w:marRight w:val="0"/>
                              <w:marTop w:val="0"/>
                              <w:marBottom w:val="0"/>
                              <w:divBdr>
                                <w:top w:val="none" w:sz="0" w:space="0" w:color="auto"/>
                                <w:left w:val="none" w:sz="0" w:space="0" w:color="auto"/>
                                <w:bottom w:val="none" w:sz="0" w:space="0" w:color="auto"/>
                                <w:right w:val="none" w:sz="0" w:space="0" w:color="auto"/>
                              </w:divBdr>
                            </w:div>
                            <w:div w:id="9370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932</Words>
  <Characters>5038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lpstr>
    </vt:vector>
  </TitlesOfParts>
  <Company>OTE</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dc:description/>
  <cp:lastModifiedBy>usrher103</cp:lastModifiedBy>
  <cp:revision>19</cp:revision>
  <cp:lastPrinted>2012-06-23T10:09:00Z</cp:lastPrinted>
  <dcterms:created xsi:type="dcterms:W3CDTF">2012-06-22T11:38:00Z</dcterms:created>
  <dcterms:modified xsi:type="dcterms:W3CDTF">2012-09-15T05:45:00Z</dcterms:modified>
</cp:coreProperties>
</file>