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F" w:rsidRPr="00F50551" w:rsidRDefault="00F50551">
      <w:pPr>
        <w:rPr>
          <w:b/>
          <w:u w:val="single"/>
        </w:rPr>
      </w:pPr>
      <w:bookmarkStart w:id="0" w:name="_GoBack"/>
      <w:bookmarkEnd w:id="0"/>
      <w:r w:rsidRPr="00F50551">
        <w:rPr>
          <w:b/>
          <w:u w:val="single"/>
        </w:rPr>
        <w:t>Ασκήσεις:</w:t>
      </w:r>
    </w:p>
    <w:p w:rsidR="00F50551" w:rsidRDefault="00F50551" w:rsidP="00847CBE">
      <w:pPr>
        <w:pStyle w:val="a3"/>
        <w:numPr>
          <w:ilvl w:val="0"/>
          <w:numId w:val="3"/>
        </w:numPr>
        <w:jc w:val="both"/>
      </w:pPr>
      <w:r>
        <w:t>Ο κανονισμός ενός ταμείου προβλέπει το 50</w:t>
      </w:r>
      <w:r w:rsidRPr="00847CBE">
        <w:rPr>
          <w:vertAlign w:val="superscript"/>
        </w:rPr>
        <w:t>ο</w:t>
      </w:r>
      <w:r>
        <w:t xml:space="preserve"> έτος ως ηλικία έναρξης κανονικής συνταξιοδότησης. Το ύψος της ετήσιας σύνταξης που προκαταβάλλεται και μέχρι την ηλικία των 8</w:t>
      </w:r>
      <w:r w:rsidRPr="00F50551">
        <w:t>0</w:t>
      </w:r>
      <w:r>
        <w:t xml:space="preserve"> ετών προσδιορίζεται σε 3.000 για τα πρώτα 10 έτη, 2.000 για τα επόμενα 10 και 1.000 για τα υπόλοιπα 10. Οι ετήσιες εισφορές προκαταβάλλονται και αυξάνονται κατά 2% ετησίως. </w:t>
      </w:r>
    </w:p>
    <w:p w:rsidR="00F50551" w:rsidRPr="00F50551" w:rsidRDefault="00F50551" w:rsidP="00847CBE">
      <w:pPr>
        <w:ind w:left="720"/>
        <w:jc w:val="both"/>
      </w:pPr>
      <w:r>
        <w:t xml:space="preserve">Άτομο 30 ετών εισέρχεται στο ταμείο και καταβάλλει άμεσα την ετήσια απαιτούμενη εισφορά </w:t>
      </w:r>
      <w:r w:rsidRPr="00F50551">
        <w:t>(</w:t>
      </w:r>
      <w:r>
        <w:rPr>
          <w:lang w:val="en-US"/>
        </w:rPr>
        <w:t>C</w:t>
      </w:r>
      <w:r w:rsidRPr="00F50551">
        <w:t>).</w:t>
      </w:r>
    </w:p>
    <w:p w:rsidR="00F50551" w:rsidRDefault="00F50551" w:rsidP="00F50551">
      <w:pPr>
        <w:pStyle w:val="a3"/>
        <w:numPr>
          <w:ilvl w:val="0"/>
          <w:numId w:val="1"/>
        </w:numPr>
        <w:jc w:val="both"/>
      </w:pPr>
      <w:r>
        <w:t>Να βρεθεί το (</w:t>
      </w:r>
      <w:r>
        <w:rPr>
          <w:lang w:val="en-US"/>
        </w:rPr>
        <w:t>C</w:t>
      </w:r>
      <w:r w:rsidRPr="00F50551">
        <w:t xml:space="preserve">) </w:t>
      </w:r>
      <w:r>
        <w:t xml:space="preserve">εφ’ όσον το τεχνικό επιτόκιο είναι </w:t>
      </w:r>
      <w:r>
        <w:rPr>
          <w:lang w:val="en-US"/>
        </w:rPr>
        <w:t>i</w:t>
      </w:r>
      <w:r w:rsidRPr="00F50551">
        <w:t>=</w:t>
      </w:r>
      <w:r>
        <w:t>4%</w:t>
      </w:r>
      <w:r w:rsidRPr="00F50551">
        <w:t xml:space="preserve"> (</w:t>
      </w:r>
      <w:r>
        <w:t>θνησιμότητα αμελητέα)</w:t>
      </w:r>
    </w:p>
    <w:p w:rsidR="00F50551" w:rsidRDefault="00F50551" w:rsidP="00F50551">
      <w:pPr>
        <w:pStyle w:val="a3"/>
        <w:numPr>
          <w:ilvl w:val="0"/>
          <w:numId w:val="1"/>
        </w:numPr>
        <w:jc w:val="both"/>
      </w:pPr>
      <w:r>
        <w:t>Να βρεθεί το (</w:t>
      </w:r>
      <w:r>
        <w:rPr>
          <w:lang w:val="en-US"/>
        </w:rPr>
        <w:t>C</w:t>
      </w:r>
      <w:r w:rsidRPr="00F50551">
        <w:t xml:space="preserve">) </w:t>
      </w:r>
      <w:r>
        <w:t xml:space="preserve">εφ’ όσον το τεχνικό επιτόκιο είναι </w:t>
      </w:r>
      <w:r>
        <w:rPr>
          <w:lang w:val="en-US"/>
        </w:rPr>
        <w:t>i</w:t>
      </w:r>
      <w:r w:rsidRPr="00F50551">
        <w:t>=</w:t>
      </w:r>
      <w:r>
        <w:t>4%</w:t>
      </w:r>
      <w:r w:rsidRPr="00F50551">
        <w:t xml:space="preserve"> (</w:t>
      </w:r>
      <w:r>
        <w:t>να υπολογισθεί θνησιμότητα)</w:t>
      </w:r>
    </w:p>
    <w:p w:rsidR="00F50551" w:rsidRDefault="00F50551" w:rsidP="00F50551">
      <w:pPr>
        <w:pStyle w:val="a3"/>
        <w:numPr>
          <w:ilvl w:val="0"/>
          <w:numId w:val="1"/>
        </w:numPr>
        <w:jc w:val="both"/>
      </w:pPr>
      <w:r>
        <w:t>Να βρεθεί το (</w:t>
      </w:r>
      <w:r>
        <w:rPr>
          <w:lang w:val="en-US"/>
        </w:rPr>
        <w:t>C</w:t>
      </w:r>
      <w:r w:rsidRPr="00F50551">
        <w:t xml:space="preserve">) </w:t>
      </w:r>
      <w:r>
        <w:t xml:space="preserve">εφ’ όσον το τεχνικό επιτόκιο είναι </w:t>
      </w:r>
      <w:r>
        <w:rPr>
          <w:lang w:val="en-US"/>
        </w:rPr>
        <w:t>i</w:t>
      </w:r>
      <w:r w:rsidRPr="00F50551">
        <w:t>=</w:t>
      </w:r>
      <w:r>
        <w:t>4%</w:t>
      </w:r>
      <w:r w:rsidRPr="00F50551">
        <w:t xml:space="preserve"> </w:t>
      </w:r>
      <w:r>
        <w:t xml:space="preserve">και δεν υπάρχει ετήσια αύξηση εισφορών </w:t>
      </w:r>
      <w:r w:rsidRPr="00F50551">
        <w:t>(</w:t>
      </w:r>
      <w:r>
        <w:t>θνησιμότητα αμελητέα)</w:t>
      </w:r>
    </w:p>
    <w:p w:rsidR="00F50551" w:rsidRDefault="00F50551" w:rsidP="00F50551">
      <w:pPr>
        <w:pStyle w:val="a3"/>
        <w:numPr>
          <w:ilvl w:val="0"/>
          <w:numId w:val="1"/>
        </w:numPr>
        <w:jc w:val="both"/>
      </w:pPr>
      <w:r>
        <w:t>Να βρεθεί το (</w:t>
      </w:r>
      <w:r>
        <w:rPr>
          <w:lang w:val="en-US"/>
        </w:rPr>
        <w:t>C</w:t>
      </w:r>
      <w:r w:rsidRPr="00F50551">
        <w:t xml:space="preserve">) </w:t>
      </w:r>
      <w:r>
        <w:t xml:space="preserve">εφ’ όσον το τεχνικό επιτόκιο είναι </w:t>
      </w:r>
      <w:r>
        <w:rPr>
          <w:lang w:val="en-US"/>
        </w:rPr>
        <w:t>i</w:t>
      </w:r>
      <w:r w:rsidRPr="00F50551">
        <w:t>=</w:t>
      </w:r>
      <w:r>
        <w:t>4%</w:t>
      </w:r>
      <w:r w:rsidRPr="00F50551">
        <w:t xml:space="preserve"> </w:t>
      </w:r>
      <w:r>
        <w:t>και δεν υπάρχει ετήσια αύξηση εισφορών</w:t>
      </w:r>
      <w:r w:rsidRPr="00F50551">
        <w:t xml:space="preserve"> (</w:t>
      </w:r>
      <w:r>
        <w:t>να υπολογισθεί θνησιμότητα)</w:t>
      </w:r>
    </w:p>
    <w:p w:rsidR="00711316" w:rsidRDefault="00711316" w:rsidP="00711316">
      <w:pPr>
        <w:jc w:val="both"/>
      </w:pPr>
    </w:p>
    <w:p w:rsidR="00847CBE" w:rsidRDefault="00DF0966" w:rsidP="00847CBE">
      <w:pPr>
        <w:pStyle w:val="a3"/>
        <w:numPr>
          <w:ilvl w:val="0"/>
          <w:numId w:val="3"/>
        </w:numPr>
        <w:jc w:val="both"/>
      </w:pPr>
      <w:r>
        <w:t>Ο κανονισμός ενός ταμείου προβλέπει την παροχή εφάπαξ 10.000 € σε ηλικία 65 ετών. Άτομο 25 ετών εισέρχεται στο ταμείο και καταβάλλει ετήσιες (προκαταβλητέες) εισφορές ίσες με (</w:t>
      </w:r>
      <w:r w:rsidRPr="00847CBE">
        <w:t>C</w:t>
      </w:r>
      <w:r w:rsidRPr="00F50551">
        <w:t>)</w:t>
      </w:r>
      <w:r>
        <w:t>. Μετά από 30 έτη και σε ηλικία 55 ετών (και πριν δώσει την ετήσια εισφορά) αποφασίζει να αποχωρήσει από το ταμείο. Υ</w:t>
      </w:r>
      <w:r w:rsidR="00847CBE">
        <w:t xml:space="preserve">πολογίζεται το απόθεμα που του αντιστοιχεί και του αποδίδεται το 90%. Τι ποσό θα εισπράξει αν το τεχνικό επιτόκιο είναι </w:t>
      </w:r>
      <w:r w:rsidR="00847CBE" w:rsidRPr="00847CBE">
        <w:t>i</w:t>
      </w:r>
      <w:r w:rsidR="00847CBE" w:rsidRPr="00F50551">
        <w:t>=</w:t>
      </w:r>
      <w:r w:rsidR="00847CBE">
        <w:t>4%;</w:t>
      </w:r>
    </w:p>
    <w:p w:rsidR="00DF0966" w:rsidRDefault="00DF0966" w:rsidP="00847CBE">
      <w:pPr>
        <w:pStyle w:val="a3"/>
        <w:numPr>
          <w:ilvl w:val="0"/>
          <w:numId w:val="2"/>
        </w:numPr>
        <w:jc w:val="both"/>
      </w:pPr>
      <w:r>
        <w:t>θνησιμότητα αμελητέα</w:t>
      </w:r>
    </w:p>
    <w:p w:rsidR="00DF0966" w:rsidRDefault="00DF0966" w:rsidP="00847CBE">
      <w:pPr>
        <w:pStyle w:val="a3"/>
        <w:numPr>
          <w:ilvl w:val="0"/>
          <w:numId w:val="2"/>
        </w:numPr>
        <w:jc w:val="both"/>
      </w:pPr>
      <w:r>
        <w:t>να υπολογισθεί θνησιμότητα</w:t>
      </w:r>
    </w:p>
    <w:p w:rsidR="00711316" w:rsidRDefault="00711316" w:rsidP="00711316">
      <w:pPr>
        <w:jc w:val="both"/>
      </w:pPr>
    </w:p>
    <w:p w:rsidR="00711316" w:rsidRDefault="00BB19E2" w:rsidP="00711316">
      <w:pPr>
        <w:pStyle w:val="a3"/>
        <w:numPr>
          <w:ilvl w:val="0"/>
          <w:numId w:val="3"/>
        </w:numPr>
        <w:jc w:val="both"/>
      </w:pPr>
      <w:r>
        <w:t>Δίνεται ο ακόλουθος πίνακας πολλαπλών εξόδων:</w:t>
      </w:r>
    </w:p>
    <w:tbl>
      <w:tblPr>
        <w:tblStyle w:val="a4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349"/>
        <w:gridCol w:w="1365"/>
        <w:gridCol w:w="1364"/>
        <w:gridCol w:w="1361"/>
        <w:gridCol w:w="1363"/>
        <w:gridCol w:w="1360"/>
      </w:tblGrid>
      <w:tr w:rsidR="00BB19E2" w:rsidTr="00BB19E2">
        <w:trPr>
          <w:jc w:val="center"/>
        </w:trPr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20" w:type="dxa"/>
          </w:tcPr>
          <w:p w:rsidR="00BB19E2" w:rsidRDefault="008E3022" w:rsidP="00BB19E2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1420" w:type="dxa"/>
          </w:tcPr>
          <w:p w:rsidR="00BB19E2" w:rsidRDefault="008E3022" w:rsidP="00BB19E2">
            <w:pPr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(m)</m:t>
                    </m:r>
                  </m:sup>
                </m:sSubSup>
              </m:oMath>
            </m:oMathPara>
          </w:p>
        </w:tc>
        <w:tc>
          <w:tcPr>
            <w:tcW w:w="1420" w:type="dxa"/>
          </w:tcPr>
          <w:p w:rsidR="00BB19E2" w:rsidRDefault="008E3022" w:rsidP="00BB19E2">
            <w:pPr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(d)</m:t>
                    </m:r>
                  </m:sup>
                </m:sSubSup>
              </m:oMath>
            </m:oMathPara>
          </w:p>
        </w:tc>
        <w:tc>
          <w:tcPr>
            <w:tcW w:w="1421" w:type="dxa"/>
          </w:tcPr>
          <w:p w:rsidR="00BB19E2" w:rsidRDefault="008E3022" w:rsidP="00BB19E2">
            <w:pPr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(w)</m:t>
                    </m:r>
                  </m:sup>
                </m:sSubSup>
              </m:oMath>
            </m:oMathPara>
          </w:p>
        </w:tc>
        <w:tc>
          <w:tcPr>
            <w:tcW w:w="1421" w:type="dxa"/>
          </w:tcPr>
          <w:p w:rsidR="00BB19E2" w:rsidRDefault="008E3022" w:rsidP="00BB19E2">
            <w:pPr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(r)</m:t>
                    </m:r>
                  </m:sup>
                </m:sSubSup>
              </m:oMath>
            </m:oMathPara>
          </w:p>
        </w:tc>
      </w:tr>
      <w:tr w:rsidR="00BB19E2" w:rsidTr="00BB19E2">
        <w:trPr>
          <w:jc w:val="center"/>
        </w:trPr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</w:pPr>
            <w:r>
              <w:t>(α)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B19E2" w:rsidTr="00BB19E2">
        <w:trPr>
          <w:jc w:val="center"/>
        </w:trPr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980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21" w:type="dxa"/>
          </w:tcPr>
          <w:p w:rsidR="00BB19E2" w:rsidRDefault="00BB19E2" w:rsidP="00BB19E2">
            <w:pPr>
              <w:jc w:val="center"/>
            </w:pPr>
            <w:r>
              <w:t>(β)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B19E2" w:rsidTr="00BB19E2">
        <w:trPr>
          <w:jc w:val="center"/>
        </w:trPr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420" w:type="dxa"/>
          </w:tcPr>
          <w:p w:rsidR="00BB19E2" w:rsidRDefault="00BB19E2" w:rsidP="00BB19E2">
            <w:pPr>
              <w:jc w:val="center"/>
            </w:pPr>
            <w:r>
              <w:t>(γ)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B19E2" w:rsidTr="00BB19E2">
        <w:trPr>
          <w:jc w:val="center"/>
        </w:trPr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935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B19E2" w:rsidTr="00BB19E2">
        <w:trPr>
          <w:jc w:val="center"/>
        </w:trPr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420" w:type="dxa"/>
          </w:tcPr>
          <w:p w:rsidR="00BB19E2" w:rsidRDefault="00BB19E2" w:rsidP="00BB19E2">
            <w:pPr>
              <w:jc w:val="center"/>
            </w:pPr>
            <w:r>
              <w:t>(δ)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B19E2" w:rsidTr="00BB19E2">
        <w:trPr>
          <w:jc w:val="center"/>
        </w:trPr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880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BB19E2" w:rsidTr="00BB19E2">
        <w:trPr>
          <w:jc w:val="center"/>
        </w:trPr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810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BB19E2" w:rsidTr="00BB19E2">
        <w:trPr>
          <w:jc w:val="center"/>
        </w:trPr>
        <w:tc>
          <w:tcPr>
            <w:tcW w:w="1420" w:type="dxa"/>
          </w:tcPr>
          <w:p w:rsid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420" w:type="dxa"/>
          </w:tcPr>
          <w:p w:rsidR="00BB19E2" w:rsidRDefault="00BB19E2" w:rsidP="00BB19E2">
            <w:pPr>
              <w:jc w:val="center"/>
            </w:pPr>
            <w:r>
              <w:t>(ε)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BB19E2" w:rsidTr="00BB19E2">
        <w:trPr>
          <w:jc w:val="center"/>
        </w:trPr>
        <w:tc>
          <w:tcPr>
            <w:tcW w:w="1420" w:type="dxa"/>
          </w:tcPr>
          <w:p w:rsid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BB19E2" w:rsidTr="00BB19E2">
        <w:trPr>
          <w:jc w:val="center"/>
        </w:trPr>
        <w:tc>
          <w:tcPr>
            <w:tcW w:w="1420" w:type="dxa"/>
          </w:tcPr>
          <w:p w:rsid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21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BB19E2" w:rsidTr="00BB19E2">
        <w:trPr>
          <w:jc w:val="center"/>
        </w:trPr>
        <w:tc>
          <w:tcPr>
            <w:tcW w:w="1420" w:type="dxa"/>
          </w:tcPr>
          <w:p w:rsid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420" w:type="dxa"/>
          </w:tcPr>
          <w:p w:rsidR="00BB19E2" w:rsidRPr="00BB19E2" w:rsidRDefault="00BB19E2" w:rsidP="00BB19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20" w:type="dxa"/>
          </w:tcPr>
          <w:p w:rsidR="00BB19E2" w:rsidRDefault="00BB19E2" w:rsidP="00BB19E2">
            <w:pPr>
              <w:jc w:val="center"/>
            </w:pPr>
          </w:p>
        </w:tc>
        <w:tc>
          <w:tcPr>
            <w:tcW w:w="1420" w:type="dxa"/>
          </w:tcPr>
          <w:p w:rsidR="00BB19E2" w:rsidRDefault="00BB19E2" w:rsidP="00BB19E2">
            <w:pPr>
              <w:jc w:val="center"/>
            </w:pPr>
          </w:p>
        </w:tc>
        <w:tc>
          <w:tcPr>
            <w:tcW w:w="1421" w:type="dxa"/>
          </w:tcPr>
          <w:p w:rsidR="00BB19E2" w:rsidRDefault="00BB19E2" w:rsidP="00BB19E2">
            <w:pPr>
              <w:jc w:val="center"/>
            </w:pPr>
          </w:p>
        </w:tc>
        <w:tc>
          <w:tcPr>
            <w:tcW w:w="1421" w:type="dxa"/>
          </w:tcPr>
          <w:p w:rsidR="00BB19E2" w:rsidRDefault="00BB19E2" w:rsidP="00BB19E2">
            <w:pPr>
              <w:jc w:val="center"/>
            </w:pPr>
          </w:p>
        </w:tc>
      </w:tr>
    </w:tbl>
    <w:p w:rsidR="00BB19E2" w:rsidRDefault="00BB19E2" w:rsidP="00BB19E2">
      <w:pPr>
        <w:ind w:left="360"/>
        <w:jc w:val="both"/>
      </w:pPr>
    </w:p>
    <w:p w:rsidR="00BB19E2" w:rsidRDefault="00BB19E2" w:rsidP="00BB19E2">
      <w:pPr>
        <w:pStyle w:val="a3"/>
        <w:numPr>
          <w:ilvl w:val="0"/>
          <w:numId w:val="4"/>
        </w:numPr>
        <w:jc w:val="both"/>
      </w:pPr>
      <w:r>
        <w:lastRenderedPageBreak/>
        <w:t>Να συμπληρωθούν τα κενά (α), (β), (γ), (δ), (ε)</w:t>
      </w:r>
    </w:p>
    <w:p w:rsidR="00BB19E2" w:rsidRDefault="00BB19E2" w:rsidP="00BB19E2">
      <w:pPr>
        <w:pStyle w:val="a3"/>
        <w:numPr>
          <w:ilvl w:val="0"/>
          <w:numId w:val="4"/>
        </w:numPr>
        <w:jc w:val="both"/>
      </w:pPr>
      <w:r>
        <w:t>Να υπολογισθεί η πιθανότητα άτομο ηλικίας 56 ετών να συνταξιοδοτηθεί σε ηλικίες 63 ή 64 ετών</w:t>
      </w:r>
    </w:p>
    <w:p w:rsidR="00BB19E2" w:rsidRDefault="00BB19E2" w:rsidP="00BB19E2">
      <w:pPr>
        <w:pStyle w:val="a3"/>
        <w:numPr>
          <w:ilvl w:val="0"/>
          <w:numId w:val="4"/>
        </w:numPr>
        <w:jc w:val="both"/>
      </w:pPr>
      <w:r>
        <w:t>Να υπολογισθεί η πιθανότητα άτομο ηλικίας 60 ετών να πεθάνει ή να μείνει ανάπηρος σε ηλικίες 63 ή 64 ετών</w:t>
      </w:r>
    </w:p>
    <w:p w:rsidR="00BB19E2" w:rsidRDefault="00BB19E2" w:rsidP="00BB19E2">
      <w:pPr>
        <w:pStyle w:val="a3"/>
        <w:numPr>
          <w:ilvl w:val="0"/>
          <w:numId w:val="4"/>
        </w:numPr>
        <w:jc w:val="both"/>
      </w:pPr>
      <w:r>
        <w:t>Η «εμπειρία» ενός ταμείου ταυτίζεται πλήρως με τον παραπάνω πίνακα. Σήμερα υπάρχουν 500 ενεργά μέλη ηλικίας 58 ετών, 300 ηλικίας 59 και 200 ηλικίας 60</w:t>
      </w:r>
      <w:r w:rsidR="00842290">
        <w:t>. Να βρεθεί το πλήθος των ενεργών μελών μετά από 2 έτη</w:t>
      </w:r>
    </w:p>
    <w:p w:rsidR="00842290" w:rsidRDefault="00842290" w:rsidP="00842290">
      <w:pPr>
        <w:jc w:val="both"/>
      </w:pPr>
    </w:p>
    <w:p w:rsidR="00842290" w:rsidRDefault="00842290" w:rsidP="00842290">
      <w:pPr>
        <w:pStyle w:val="a3"/>
        <w:numPr>
          <w:ilvl w:val="0"/>
          <w:numId w:val="3"/>
        </w:numPr>
        <w:jc w:val="both"/>
      </w:pPr>
      <w:r>
        <w:t xml:space="preserve">Να γραφούν οι συναρτήσεις </w:t>
      </w:r>
      <w:proofErr w:type="spellStart"/>
      <w:r>
        <w:rPr>
          <w:lang w:val="en-US"/>
        </w:rPr>
        <w:t>Bx</w:t>
      </w:r>
      <w:proofErr w:type="spellEnd"/>
      <w:r w:rsidRPr="00842290">
        <w:t xml:space="preserve"> (</w:t>
      </w:r>
      <w:r>
        <w:t xml:space="preserve">σωρευτική παροχή σε ηλικία </w:t>
      </w:r>
      <w:r>
        <w:rPr>
          <w:lang w:val="en-US"/>
        </w:rPr>
        <w:t>x</w:t>
      </w:r>
      <w:r w:rsidRPr="00842290">
        <w:t xml:space="preserve">) </w:t>
      </w:r>
      <w:r>
        <w:t xml:space="preserve">και </w:t>
      </w:r>
      <w:proofErr w:type="spellStart"/>
      <w:r>
        <w:rPr>
          <w:lang w:val="en-US"/>
        </w:rPr>
        <w:t>bx</w:t>
      </w:r>
      <w:proofErr w:type="spellEnd"/>
      <w:r w:rsidRPr="00842290">
        <w:t xml:space="preserve"> (</w:t>
      </w:r>
      <w:r>
        <w:t xml:space="preserve">παροχή που αντιστοιχεί σε ηλικία </w:t>
      </w:r>
      <w:r>
        <w:rPr>
          <w:lang w:val="en-US"/>
        </w:rPr>
        <w:t>x</w:t>
      </w:r>
      <w:r w:rsidRPr="00842290">
        <w:t xml:space="preserve">) </w:t>
      </w:r>
      <w:r>
        <w:t xml:space="preserve">για </w:t>
      </w:r>
      <w:r>
        <w:rPr>
          <w:lang w:val="en-US"/>
        </w:rPr>
        <w:t>x</w:t>
      </w:r>
      <w:r w:rsidRPr="00842290">
        <w:t xml:space="preserve">=40, 50, 60 </w:t>
      </w:r>
      <w:r w:rsidR="002F5E00">
        <w:t xml:space="preserve">εάν η συνολική παροχή στην ηλικία </w:t>
      </w:r>
      <w:r w:rsidR="002F5E00">
        <w:rPr>
          <w:lang w:val="en-US"/>
        </w:rPr>
        <w:t>x</w:t>
      </w:r>
      <w:r w:rsidR="002F5E00" w:rsidRPr="002F5E00">
        <w:t xml:space="preserve"> </w:t>
      </w:r>
      <w:r w:rsidR="002F5E00">
        <w:t>είναι ίση με 2% για κάθε χρόνο υπηρεσίας για τα πρώτα 20 έτη υπηρεσίας και 3% για κάθε επόμενο έτος υπηρεσίας ως ποσοστό του μέσου μηνιαίου μισθού της τελευταίας τριετίας. Θεωρείστε άτομο που εισήλθε στο ταμείο σε ηλικία 30%. Εισαγωγικός μηνιαίος μισθός στο ταμείο (ανεξάρτητα από ηλικία πρόσληψης) € 1.000. Πολιτική αύξησης αποδοχών 2% ετησίως. Τεχνικό επιτόκιο 4%.</w:t>
      </w:r>
    </w:p>
    <w:p w:rsidR="00DF0966" w:rsidRPr="00F50551" w:rsidRDefault="00DF0966" w:rsidP="00DF0966">
      <w:pPr>
        <w:jc w:val="both"/>
      </w:pPr>
    </w:p>
    <w:p w:rsidR="00F50551" w:rsidRPr="00F50551" w:rsidRDefault="00F50551" w:rsidP="00F50551">
      <w:pPr>
        <w:pStyle w:val="a3"/>
        <w:ind w:left="360"/>
      </w:pPr>
    </w:p>
    <w:sectPr w:rsidR="00F50551" w:rsidRPr="00F505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522D"/>
    <w:multiLevelType w:val="hybridMultilevel"/>
    <w:tmpl w:val="B73E7CDA"/>
    <w:lvl w:ilvl="0" w:tplc="A092A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D16924"/>
    <w:multiLevelType w:val="hybridMultilevel"/>
    <w:tmpl w:val="BCDE1722"/>
    <w:lvl w:ilvl="0" w:tplc="72024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702E2"/>
    <w:multiLevelType w:val="hybridMultilevel"/>
    <w:tmpl w:val="8AB005C8"/>
    <w:lvl w:ilvl="0" w:tplc="456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736CBA"/>
    <w:multiLevelType w:val="hybridMultilevel"/>
    <w:tmpl w:val="DC16DEC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51"/>
    <w:rsid w:val="002F5E00"/>
    <w:rsid w:val="00711316"/>
    <w:rsid w:val="00842290"/>
    <w:rsid w:val="00847CBE"/>
    <w:rsid w:val="008E3022"/>
    <w:rsid w:val="00BB19E2"/>
    <w:rsid w:val="00DF0966"/>
    <w:rsid w:val="00EB5AD2"/>
    <w:rsid w:val="00EF350F"/>
    <w:rsid w:val="00F5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551"/>
    <w:pPr>
      <w:ind w:left="720"/>
      <w:contextualSpacing/>
    </w:pPr>
  </w:style>
  <w:style w:type="table" w:styleId="a4">
    <w:name w:val="Table Grid"/>
    <w:basedOn w:val="a1"/>
    <w:uiPriority w:val="59"/>
    <w:rsid w:val="00BB1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BB19E2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BB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BB1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551"/>
    <w:pPr>
      <w:ind w:left="720"/>
      <w:contextualSpacing/>
    </w:pPr>
  </w:style>
  <w:style w:type="table" w:styleId="a4">
    <w:name w:val="Table Grid"/>
    <w:basedOn w:val="a1"/>
    <w:uiPriority w:val="59"/>
    <w:rsid w:val="00BB1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BB19E2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BB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BB1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Vagelis Tsoukatos</dc:creator>
  <cp:lastModifiedBy>admin</cp:lastModifiedBy>
  <cp:revision>2</cp:revision>
  <dcterms:created xsi:type="dcterms:W3CDTF">2020-02-17T07:26:00Z</dcterms:created>
  <dcterms:modified xsi:type="dcterms:W3CDTF">2020-02-17T07:26:00Z</dcterms:modified>
</cp:coreProperties>
</file>