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84" w:rsidRPr="00CE6384" w:rsidRDefault="00CE6384" w:rsidP="00993735">
      <w:pPr>
        <w:spacing w:before="105" w:after="0" w:line="240" w:lineRule="auto"/>
        <w:jc w:val="center"/>
        <w:outlineLvl w:val="0"/>
        <w:rPr>
          <w:rFonts w:ascii="Segoe UI Light" w:eastAsia="Times New Roman" w:hAnsi="Segoe UI Light" w:cs="Segoe UI Light"/>
          <w:b/>
          <w:color w:val="000000"/>
          <w:kern w:val="36"/>
          <w:sz w:val="40"/>
          <w:szCs w:val="40"/>
          <w:u w:val="single"/>
          <w:lang w:eastAsia="el-GR"/>
        </w:rPr>
      </w:pPr>
      <w:r w:rsidRPr="00CE6384">
        <w:rPr>
          <w:rFonts w:ascii="Segoe UI Light" w:eastAsia="Times New Roman" w:hAnsi="Segoe UI Light" w:cs="Segoe UI Light"/>
          <w:b/>
          <w:color w:val="000000"/>
          <w:kern w:val="36"/>
          <w:sz w:val="40"/>
          <w:szCs w:val="40"/>
          <w:u w:val="single"/>
          <w:lang w:eastAsia="el-GR"/>
        </w:rPr>
        <w:t>Συνάρτηση NPV</w:t>
      </w:r>
    </w:p>
    <w:p w:rsidR="00CE6384" w:rsidRPr="00993735" w:rsidRDefault="00CE6384" w:rsidP="00CE6384">
      <w:pPr>
        <w:spacing w:before="100" w:beforeAutospacing="1" w:after="100" w:afterAutospacing="1" w:line="240" w:lineRule="auto"/>
        <w:rPr>
          <w:rFonts w:ascii="Arial" w:eastAsia="Times New Roman" w:hAnsi="Arial" w:cs="Arial"/>
          <w:color w:val="363636"/>
          <w:sz w:val="28"/>
          <w:szCs w:val="34"/>
          <w:lang w:eastAsia="el-GR"/>
        </w:rPr>
      </w:pPr>
      <w:r w:rsidRPr="00993735">
        <w:rPr>
          <w:rFonts w:ascii="Arial" w:eastAsia="Times New Roman" w:hAnsi="Arial" w:cs="Arial"/>
          <w:color w:val="363636"/>
          <w:sz w:val="28"/>
          <w:szCs w:val="34"/>
          <w:lang w:eastAsia="el-GR"/>
        </w:rPr>
        <w:t xml:space="preserve">Σε αυτό το άρθρο περιγράφονται η σύνταξη τύπου και η χρήση της συνάρτησης </w:t>
      </w:r>
      <w:r w:rsidRPr="00993735">
        <w:rPr>
          <w:rFonts w:ascii="Arial" w:eastAsia="Times New Roman" w:hAnsi="Arial" w:cs="Arial"/>
          <w:b/>
          <w:bCs/>
          <w:color w:val="363636"/>
          <w:sz w:val="28"/>
          <w:szCs w:val="34"/>
          <w:lang w:eastAsia="el-GR"/>
        </w:rPr>
        <w:t>NPV</w:t>
      </w:r>
      <w:r w:rsidRPr="00993735">
        <w:rPr>
          <w:rFonts w:ascii="Arial" w:eastAsia="Times New Roman" w:hAnsi="Arial" w:cs="Arial"/>
          <w:color w:val="363636"/>
          <w:sz w:val="28"/>
          <w:szCs w:val="34"/>
          <w:lang w:eastAsia="el-GR"/>
        </w:rPr>
        <w:t xml:space="preserve"> στο Microsoft Excel.</w:t>
      </w:r>
    </w:p>
    <w:p w:rsidR="00CE6384" w:rsidRPr="00CE6384" w:rsidRDefault="00CE6384" w:rsidP="00CE6384">
      <w:pPr>
        <w:spacing w:before="100" w:beforeAutospacing="1" w:after="0" w:line="240" w:lineRule="auto"/>
        <w:outlineLvl w:val="1"/>
        <w:rPr>
          <w:rFonts w:ascii="Segoe UI Light" w:eastAsia="Times New Roman" w:hAnsi="Segoe UI Light" w:cs="Segoe UI Light"/>
          <w:b/>
          <w:color w:val="000000"/>
          <w:sz w:val="40"/>
          <w:szCs w:val="40"/>
          <w:lang w:eastAsia="el-GR"/>
        </w:rPr>
      </w:pPr>
      <w:r w:rsidRPr="00CE6384">
        <w:rPr>
          <w:rFonts w:ascii="Segoe UI Light" w:eastAsia="Times New Roman" w:hAnsi="Segoe UI Light" w:cs="Segoe UI Light"/>
          <w:b/>
          <w:color w:val="000000"/>
          <w:sz w:val="40"/>
          <w:szCs w:val="40"/>
          <w:lang w:eastAsia="el-GR"/>
        </w:rPr>
        <w:t>Περιγραφή</w:t>
      </w:r>
    </w:p>
    <w:p w:rsidR="00CE6384" w:rsidRPr="00993735" w:rsidRDefault="00CE6384" w:rsidP="00993735">
      <w:p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Υπολογίζει την καθαρή παρούσα αξία μιας επένδυσης με βάση ένα προεξοφλητικό επιτόκιο και μια σειρά μελλοντικών πληρωμών (αρνητικές τιμές) και εισοδημάτων (θετικές τιμές).</w:t>
      </w:r>
    </w:p>
    <w:p w:rsidR="00CE6384" w:rsidRPr="00CE6384" w:rsidRDefault="00CE6384" w:rsidP="00CE6384">
      <w:pPr>
        <w:spacing w:before="100" w:beforeAutospacing="1" w:after="0" w:line="240" w:lineRule="auto"/>
        <w:outlineLvl w:val="1"/>
        <w:rPr>
          <w:rFonts w:ascii="Segoe UI Light" w:eastAsia="Times New Roman" w:hAnsi="Segoe UI Light" w:cs="Segoe UI Light"/>
          <w:b/>
          <w:color w:val="000000"/>
          <w:sz w:val="40"/>
          <w:szCs w:val="40"/>
          <w:lang w:eastAsia="el-GR"/>
        </w:rPr>
      </w:pPr>
      <w:r w:rsidRPr="00CE6384">
        <w:rPr>
          <w:rFonts w:ascii="Segoe UI Light" w:eastAsia="Times New Roman" w:hAnsi="Segoe UI Light" w:cs="Segoe UI Light"/>
          <w:b/>
          <w:color w:val="000000"/>
          <w:sz w:val="40"/>
          <w:szCs w:val="40"/>
          <w:lang w:eastAsia="el-GR"/>
        </w:rPr>
        <w:t>Σύνταξη</w:t>
      </w:r>
    </w:p>
    <w:p w:rsidR="00CE6384" w:rsidRPr="00993735" w:rsidRDefault="00CE6384" w:rsidP="00993735">
      <w:p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NPV(επιτόκιο;τιμή1;[τιμή2];...)</w:t>
      </w:r>
    </w:p>
    <w:p w:rsidR="00CE6384" w:rsidRPr="00993735" w:rsidRDefault="00CE6384" w:rsidP="00993735">
      <w:p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Η σύνταξη της συνάρτησης NPV περιλαμβάνει τα παρακάτω ορίσματα:</w:t>
      </w:r>
    </w:p>
    <w:p w:rsidR="00CE6384" w:rsidRPr="00993735" w:rsidRDefault="00CE6384" w:rsidP="00993735">
      <w:pPr>
        <w:numPr>
          <w:ilvl w:val="0"/>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b/>
          <w:bCs/>
          <w:color w:val="363636"/>
          <w:sz w:val="28"/>
          <w:szCs w:val="28"/>
          <w:lang w:eastAsia="el-GR"/>
        </w:rPr>
        <w:t>Επιτόκιο</w:t>
      </w:r>
      <w:r w:rsidRPr="00993735">
        <w:rPr>
          <w:rFonts w:ascii="Arial" w:eastAsia="Times New Roman" w:hAnsi="Arial" w:cs="Arial"/>
          <w:color w:val="363636"/>
          <w:sz w:val="28"/>
          <w:szCs w:val="28"/>
          <w:lang w:eastAsia="el-GR"/>
        </w:rPr>
        <w:t>    Υποχρεωτικό. Το προεξοφλητικό επιτόκιο κατά τη διάρκεια μίας περιόδου.</w:t>
      </w:r>
    </w:p>
    <w:p w:rsidR="00CE6384" w:rsidRPr="00993735" w:rsidRDefault="00CE6384" w:rsidP="00993735">
      <w:pPr>
        <w:numPr>
          <w:ilvl w:val="0"/>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b/>
          <w:bCs/>
          <w:color w:val="363636"/>
          <w:sz w:val="28"/>
          <w:szCs w:val="28"/>
          <w:lang w:eastAsia="el-GR"/>
        </w:rPr>
        <w:t>Τιμή1; τιμή2; ...</w:t>
      </w:r>
      <w:r w:rsidRPr="00993735">
        <w:rPr>
          <w:rFonts w:ascii="Arial" w:eastAsia="Times New Roman" w:hAnsi="Arial" w:cs="Arial"/>
          <w:color w:val="363636"/>
          <w:sz w:val="28"/>
          <w:szCs w:val="28"/>
          <w:lang w:eastAsia="el-GR"/>
        </w:rPr>
        <w:t>    Το όρισμα τιμή1 είναι υποχρεωτικό, οι επακόλουθες τιμές είναι προαιρετικές. 1 έως 254 ορίσματα που αντιπροσωπεύουν πληρωμές και εισοδήματα.</w:t>
      </w:r>
    </w:p>
    <w:p w:rsidR="00CE6384" w:rsidRPr="00993735" w:rsidRDefault="00CE6384" w:rsidP="00993735">
      <w:pPr>
        <w:numPr>
          <w:ilvl w:val="1"/>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Οι συναλλαγές των ορισμάτων τιμή1, τιμή2,... πρέπει να απέχουν ίσα χρονικά διαστήματα και να πραγματοποιούνται στο τέλος κάθε περιόδου.</w:t>
      </w:r>
    </w:p>
    <w:p w:rsidR="00CE6384" w:rsidRPr="00993735" w:rsidRDefault="00CE6384" w:rsidP="00993735">
      <w:pPr>
        <w:numPr>
          <w:ilvl w:val="1"/>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Η συνάρτηση NPV χρησιμοποιεί τη διάταξη των ορισμάτων τιμή1, τιμή2,... για να ερμηνεύσει τη διαδοχή των ταμειακών ροών. Βεβαιωθείτε ότι η καταχώρηση των ποσών πληρωμών και εισοδημάτων γίνεται με τη σωστή σειρά.</w:t>
      </w:r>
    </w:p>
    <w:p w:rsidR="00CE6384" w:rsidRPr="00993735" w:rsidRDefault="00CE6384" w:rsidP="00993735">
      <w:pPr>
        <w:numPr>
          <w:ilvl w:val="1"/>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Παραβλέπονται τα ορίσματα που είναι κενά κελιά, λογικές τιμές ή κείμενο που αντιπροσωπεύει αριθμούς, τιμές σφαλμάτων ή κείμενο που δεν μετατρέπεται σε αριθμούς.</w:t>
      </w:r>
    </w:p>
    <w:p w:rsidR="00CE6384" w:rsidRPr="00993735" w:rsidRDefault="00CE6384" w:rsidP="00993735">
      <w:pPr>
        <w:numPr>
          <w:ilvl w:val="1"/>
          <w:numId w:val="3"/>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Εάν ένα όρισμα είναι πίνακας ή αναφορά, υπολογίζονται μόνο οι αριθμοί σε αυτόν τον πίνακα ή την αναφορά. Κενά κελιά, λογικές τιμές, κείμενο ή τιμές σφάλματος που περιέχονται στον πίνακα ή την αναφορά παραβλέπονται.</w:t>
      </w:r>
    </w:p>
    <w:p w:rsidR="00CE6384" w:rsidRPr="00CE6384" w:rsidRDefault="00CE6384" w:rsidP="00CE6384">
      <w:pPr>
        <w:spacing w:before="100" w:beforeAutospacing="1" w:after="0" w:line="240" w:lineRule="auto"/>
        <w:outlineLvl w:val="1"/>
        <w:rPr>
          <w:rFonts w:ascii="Segoe UI Light" w:eastAsia="Times New Roman" w:hAnsi="Segoe UI Light" w:cs="Segoe UI Light"/>
          <w:b/>
          <w:color w:val="000000"/>
          <w:sz w:val="40"/>
          <w:szCs w:val="40"/>
          <w:lang w:eastAsia="el-GR"/>
        </w:rPr>
      </w:pPr>
      <w:r w:rsidRPr="00CE6384">
        <w:rPr>
          <w:rFonts w:ascii="Segoe UI Light" w:eastAsia="Times New Roman" w:hAnsi="Segoe UI Light" w:cs="Segoe UI Light"/>
          <w:b/>
          <w:color w:val="000000"/>
          <w:sz w:val="40"/>
          <w:szCs w:val="40"/>
          <w:lang w:eastAsia="el-GR"/>
        </w:rPr>
        <w:lastRenderedPageBreak/>
        <w:t>Παρατηρήσεις</w:t>
      </w:r>
    </w:p>
    <w:p w:rsidR="00CE6384" w:rsidRPr="00993735" w:rsidRDefault="00CE6384" w:rsidP="00993735">
      <w:pPr>
        <w:numPr>
          <w:ilvl w:val="0"/>
          <w:numId w:val="4"/>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Η επένδυση NPV αρχίζει μία περίοδο πριν από την ημερομηνία της ταμειακής ροής του ορίσματος τιμή1 και λήγει με την τελευταία ταμειακή ροή της λίστας. Ο υπολογισμός της συνάρτησης NPV βασίζεται σε μελλοντικές ταμειακές ροές. Εάν η πρώτη συναλλαγή πραγματοποιηθεί στην αρχή της πρώτης περιόδου, η πρώτη τιμή πρέπει να προστεθεί στο αποτέλεσμα της συνάρτησης NPV και να μην περιληφθεί στα ορίσματα των τιμών. Για περισσότερες πληροφορίες, ανατρέξτε στα παρακάτω παραδείγματα.</w:t>
      </w:r>
    </w:p>
    <w:p w:rsidR="00CE6384" w:rsidRPr="00993735" w:rsidRDefault="00CE6384" w:rsidP="00993735">
      <w:pPr>
        <w:numPr>
          <w:ilvl w:val="0"/>
          <w:numId w:val="4"/>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Εάν n είναι το πλήθος των ταμειακών ροών στη λίστα των τιμών, ο τύπος για τη συνάρτηση NPV είναι:</w:t>
      </w:r>
    </w:p>
    <w:p w:rsidR="00CE6384" w:rsidRPr="00993735" w:rsidRDefault="00CE6384" w:rsidP="00993735">
      <w:pPr>
        <w:spacing w:before="100" w:beforeAutospacing="1" w:after="100" w:afterAutospacing="1" w:line="240" w:lineRule="auto"/>
        <w:ind w:left="720"/>
        <w:jc w:val="both"/>
        <w:rPr>
          <w:rFonts w:ascii="Arial" w:eastAsia="Times New Roman" w:hAnsi="Arial" w:cs="Arial"/>
          <w:color w:val="363636"/>
          <w:sz w:val="28"/>
          <w:szCs w:val="28"/>
          <w:lang w:eastAsia="el-GR"/>
        </w:rPr>
      </w:pPr>
      <w:r w:rsidRPr="00993735">
        <w:rPr>
          <w:rFonts w:ascii="Arial" w:eastAsia="Times New Roman" w:hAnsi="Arial" w:cs="Arial"/>
          <w:noProof/>
          <w:color w:val="363636"/>
          <w:sz w:val="28"/>
          <w:szCs w:val="28"/>
          <w:lang w:eastAsia="el-GR"/>
        </w:rPr>
        <w:drawing>
          <wp:inline distT="0" distB="0" distL="0" distR="0" wp14:anchorId="35F84566" wp14:editId="15A73BFF">
            <wp:extent cx="1911436" cy="523875"/>
            <wp:effectExtent l="0" t="0" r="0" b="0"/>
            <wp:docPr id="2" name="Εικόνα 2" descr="Εξίσω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ξίσωσ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6555" cy="525278"/>
                    </a:xfrm>
                    <a:prstGeom prst="rect">
                      <a:avLst/>
                    </a:prstGeom>
                    <a:noFill/>
                    <a:ln>
                      <a:noFill/>
                    </a:ln>
                  </pic:spPr>
                </pic:pic>
              </a:graphicData>
            </a:graphic>
          </wp:inline>
        </w:drawing>
      </w:r>
    </w:p>
    <w:p w:rsidR="00CE6384" w:rsidRPr="00993735" w:rsidRDefault="00CE6384" w:rsidP="00993735">
      <w:pPr>
        <w:numPr>
          <w:ilvl w:val="0"/>
          <w:numId w:val="4"/>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Η συνάρτηση NPV είναι παρόμοια με τη συνάρτηση PV (παρούσα αξία). Η βασική διαφορά ανάμεσα στις συναρτήσεις PV και NPV είναι ότι η συνάρτηση PV επιτρέπει την πραγματοποίηση ταμειακών ροών στο τέλος ή στην αρχή της περιόδου. Σε αντίθεση με τις μεταβλητές τιμές των ταμειακών ροών της συνάρτησης NPV, οι ταμειακές ροές της συνάρτησης PV πρέπει να είναι σταθερές σε όλη τη διάρκεια της επένδυσης. Για πληροφορίες σχετικά με προσόδους και οικονομικές συναρτήσεις, ανατρέξτε στη συνάρτηση PV.</w:t>
      </w:r>
    </w:p>
    <w:p w:rsidR="00CE6384" w:rsidRPr="00993735" w:rsidRDefault="00CE6384" w:rsidP="00993735">
      <w:pPr>
        <w:numPr>
          <w:ilvl w:val="0"/>
          <w:numId w:val="4"/>
        </w:num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Η συνάρτηση NPV σχετίζεται επίσης με τη συνάρτηση IRR (επιτόκιο εσωτερικής απόδοσης). Η συνάρτηση IRR αποδίδει το επιτόκιο, για το οποίο η συνάρτηση NPV ισούται με μηδέν: NPV(IRR( ... ); ... ) = 0.</w:t>
      </w:r>
    </w:p>
    <w:p w:rsidR="00CE6384" w:rsidRDefault="00CE6384" w:rsidP="00CE6384">
      <w:pPr>
        <w:spacing w:before="100" w:beforeAutospacing="1" w:after="0" w:line="240" w:lineRule="auto"/>
        <w:outlineLvl w:val="1"/>
        <w:rPr>
          <w:rFonts w:ascii="Segoe UI Light" w:eastAsia="Times New Roman" w:hAnsi="Segoe UI Light" w:cs="Segoe UI Light"/>
          <w:b/>
          <w:color w:val="000000"/>
          <w:sz w:val="40"/>
          <w:szCs w:val="40"/>
          <w:lang w:val="en-US" w:eastAsia="el-GR"/>
        </w:rPr>
      </w:pPr>
      <w:r w:rsidRPr="00CE6384">
        <w:rPr>
          <w:rFonts w:ascii="Segoe UI Light" w:eastAsia="Times New Roman" w:hAnsi="Segoe UI Light" w:cs="Segoe UI Light"/>
          <w:b/>
          <w:color w:val="000000"/>
          <w:sz w:val="40"/>
          <w:szCs w:val="40"/>
          <w:lang w:eastAsia="el-GR"/>
        </w:rPr>
        <w:t>Παράδειγμα</w:t>
      </w:r>
      <w:r>
        <w:rPr>
          <w:rFonts w:ascii="Segoe UI Light" w:eastAsia="Times New Roman" w:hAnsi="Segoe UI Light" w:cs="Segoe UI Light"/>
          <w:b/>
          <w:color w:val="000000"/>
          <w:sz w:val="40"/>
          <w:szCs w:val="40"/>
          <w:lang w:val="en-US" w:eastAsia="el-GR"/>
        </w:rPr>
        <w:t xml:space="preserve"> 1.</w:t>
      </w:r>
    </w:p>
    <w:p w:rsidR="00CE6384" w:rsidRPr="00993735" w:rsidRDefault="00CE6384" w:rsidP="00993735">
      <w:pPr>
        <w:spacing w:before="100" w:beforeAutospacing="1" w:after="100" w:afterAutospacing="1" w:line="240" w:lineRule="auto"/>
        <w:jc w:val="both"/>
        <w:rPr>
          <w:rFonts w:ascii="Arial" w:eastAsia="Times New Roman" w:hAnsi="Arial" w:cs="Arial"/>
          <w:color w:val="363636"/>
          <w:sz w:val="28"/>
          <w:szCs w:val="28"/>
          <w:lang w:eastAsia="el-GR"/>
        </w:rPr>
      </w:pPr>
      <w:r w:rsidRPr="00993735">
        <w:rPr>
          <w:rFonts w:ascii="Arial" w:eastAsia="Times New Roman" w:hAnsi="Arial" w:cs="Arial"/>
          <w:color w:val="363636"/>
          <w:sz w:val="28"/>
          <w:szCs w:val="28"/>
          <w:lang w:eastAsia="el-GR"/>
        </w:rPr>
        <w:t>Αντιγράψτε τα δεδομένα του παραδείγματος στον πίνακα που ακολουθεί και, στη συνέχεια, επικολλήστε τα στο κελί A1 ενός νέου φύλλου εργασίας του Excel. Για εμφανιστούν τα αποτελέσματα των τύπων, επιλέξτε τους, πατήστε το πλήκτρο F2 και, στη συνέχεια, πατήστε το πλήκτρο Enter.  Εάν χρειάζεται, μπορείτε να ρυθμίσετε το πλάτος των στηλών για να βλέπετε ολόκληρα τα δεδομένα.</w:t>
      </w:r>
    </w:p>
    <w:p w:rsidR="00CE6384" w:rsidRDefault="00CE6384" w:rsidP="00CE6384">
      <w:pPr>
        <w:spacing w:before="100" w:beforeAutospacing="1" w:after="100" w:afterAutospacing="1" w:line="240" w:lineRule="auto"/>
        <w:rPr>
          <w:rFonts w:ascii="Segoe UI Light" w:eastAsia="Times New Roman" w:hAnsi="Segoe UI Light" w:cs="Segoe UI Light"/>
          <w:color w:val="363636"/>
          <w:sz w:val="28"/>
          <w:szCs w:val="28"/>
          <w:lang w:eastAsia="el-GR"/>
        </w:rPr>
      </w:pPr>
    </w:p>
    <w:tbl>
      <w:tblPr>
        <w:tblStyle w:val="a3"/>
        <w:tblW w:w="0" w:type="auto"/>
        <w:tblLook w:val="04A0" w:firstRow="1" w:lastRow="0" w:firstColumn="1" w:lastColumn="0" w:noHBand="0" w:noVBand="1"/>
      </w:tblPr>
      <w:tblGrid>
        <w:gridCol w:w="1820"/>
        <w:gridCol w:w="3240"/>
      </w:tblGrid>
      <w:tr w:rsidR="00CE6384" w:rsidRPr="00CE6384" w:rsidTr="00CE6384">
        <w:trPr>
          <w:trHeight w:val="510"/>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b/>
                <w:bCs/>
                <w:color w:val="363636"/>
                <w:sz w:val="28"/>
                <w:szCs w:val="28"/>
                <w:lang w:eastAsia="el-GR"/>
              </w:rPr>
            </w:pPr>
            <w:r w:rsidRPr="00CE6384">
              <w:rPr>
                <w:rFonts w:ascii="Segoe UI Light" w:eastAsia="Times New Roman" w:hAnsi="Segoe UI Light" w:cs="Segoe UI Light"/>
                <w:b/>
                <w:bCs/>
                <w:color w:val="363636"/>
                <w:sz w:val="28"/>
                <w:szCs w:val="28"/>
                <w:lang w:eastAsia="el-GR"/>
              </w:rPr>
              <w:lastRenderedPageBreak/>
              <w:t>Δεδομένα</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b/>
                <w:bCs/>
                <w:color w:val="363636"/>
                <w:sz w:val="28"/>
                <w:szCs w:val="28"/>
                <w:lang w:eastAsia="el-GR"/>
              </w:rPr>
            </w:pPr>
            <w:r w:rsidRPr="00CE6384">
              <w:rPr>
                <w:rFonts w:ascii="Segoe UI Light" w:eastAsia="Times New Roman" w:hAnsi="Segoe UI Light" w:cs="Segoe UI Light"/>
                <w:b/>
                <w:bCs/>
                <w:color w:val="363636"/>
                <w:sz w:val="28"/>
                <w:szCs w:val="28"/>
                <w:lang w:eastAsia="el-GR"/>
              </w:rPr>
              <w:t>Περιγραφή</w:t>
            </w:r>
          </w:p>
        </w:tc>
      </w:tr>
      <w:tr w:rsidR="00CE6384" w:rsidRPr="00CE6384" w:rsidTr="00CE6384">
        <w:trPr>
          <w:trHeight w:val="810"/>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0,1</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Ετήσιο προεξοφλητικό επιτόκιο</w:t>
            </w:r>
          </w:p>
        </w:tc>
      </w:tr>
      <w:tr w:rsidR="00CE6384" w:rsidRPr="00CE6384" w:rsidTr="00CE6384">
        <w:trPr>
          <w:trHeight w:val="1215"/>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-10000</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Αρχικό κόστος της επένδυσης ένα χρόνο μετά τη σημερινή ημέρα</w:t>
            </w:r>
          </w:p>
        </w:tc>
      </w:tr>
      <w:tr w:rsidR="00CE6384" w:rsidRPr="00CE6384" w:rsidTr="00CE6384">
        <w:trPr>
          <w:trHeight w:val="810"/>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3000</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Απόδοση κατά το πρώτο έτος</w:t>
            </w:r>
          </w:p>
        </w:tc>
      </w:tr>
      <w:tr w:rsidR="00CE6384" w:rsidRPr="00CE6384" w:rsidTr="00CE6384">
        <w:trPr>
          <w:trHeight w:val="810"/>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4200</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Απόδοση κατά το δεύτερο έτος</w:t>
            </w:r>
          </w:p>
        </w:tc>
      </w:tr>
      <w:tr w:rsidR="00CE6384" w:rsidRPr="00CE6384" w:rsidTr="00CE6384">
        <w:trPr>
          <w:trHeight w:val="810"/>
        </w:trPr>
        <w:tc>
          <w:tcPr>
            <w:tcW w:w="182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6800</w:t>
            </w:r>
          </w:p>
        </w:tc>
        <w:tc>
          <w:tcPr>
            <w:tcW w:w="3240" w:type="dxa"/>
            <w:hideMark/>
          </w:tcPr>
          <w:p w:rsidR="00CE6384" w:rsidRPr="00CE6384" w:rsidRDefault="00CE6384" w:rsidP="00CE6384">
            <w:pPr>
              <w:spacing w:before="100" w:beforeAutospacing="1" w:after="100" w:afterAutospacing="1"/>
              <w:rPr>
                <w:rFonts w:ascii="Segoe UI Light" w:eastAsia="Times New Roman" w:hAnsi="Segoe UI Light" w:cs="Segoe UI Light"/>
                <w:color w:val="363636"/>
                <w:sz w:val="28"/>
                <w:szCs w:val="28"/>
                <w:lang w:eastAsia="el-GR"/>
              </w:rPr>
            </w:pPr>
            <w:r w:rsidRPr="00CE6384">
              <w:rPr>
                <w:rFonts w:ascii="Segoe UI Light" w:eastAsia="Times New Roman" w:hAnsi="Segoe UI Light" w:cs="Segoe UI Light"/>
                <w:color w:val="363636"/>
                <w:sz w:val="28"/>
                <w:szCs w:val="28"/>
                <w:lang w:eastAsia="el-GR"/>
              </w:rPr>
              <w:t>Απόδοση κατά το τρίτο έτος</w:t>
            </w:r>
          </w:p>
        </w:tc>
      </w:tr>
    </w:tbl>
    <w:p w:rsidR="00CE6384" w:rsidRDefault="00CE6384" w:rsidP="00CE6384">
      <w:pPr>
        <w:spacing w:before="100" w:beforeAutospacing="1" w:after="100" w:afterAutospacing="1" w:line="240" w:lineRule="auto"/>
        <w:rPr>
          <w:rFonts w:ascii="Segoe UI Light" w:eastAsia="Times New Roman" w:hAnsi="Segoe UI Light" w:cs="Segoe UI Light"/>
          <w:color w:val="363636"/>
          <w:sz w:val="28"/>
          <w:szCs w:val="28"/>
          <w:lang w:eastAsia="el-GR"/>
        </w:rPr>
      </w:pPr>
    </w:p>
    <w:tbl>
      <w:tblPr>
        <w:tblStyle w:val="a3"/>
        <w:tblW w:w="0" w:type="auto"/>
        <w:tblLook w:val="04A0" w:firstRow="1" w:lastRow="0" w:firstColumn="1" w:lastColumn="0" w:noHBand="0" w:noVBand="1"/>
      </w:tblPr>
      <w:tblGrid>
        <w:gridCol w:w="2793"/>
        <w:gridCol w:w="2577"/>
        <w:gridCol w:w="2926"/>
      </w:tblGrid>
      <w:tr w:rsidR="006E50AD" w:rsidRPr="00CE6384" w:rsidTr="006E50AD">
        <w:trPr>
          <w:trHeight w:val="557"/>
        </w:trPr>
        <w:tc>
          <w:tcPr>
            <w:tcW w:w="2793" w:type="dxa"/>
            <w:vAlign w:val="center"/>
            <w:hideMark/>
          </w:tcPr>
          <w:p w:rsidR="006E50AD" w:rsidRPr="00CE6384" w:rsidRDefault="006E50AD" w:rsidP="006E50AD">
            <w:pPr>
              <w:jc w:val="center"/>
              <w:rPr>
                <w:b/>
                <w:bCs/>
              </w:rPr>
            </w:pPr>
            <w:proofErr w:type="spellStart"/>
            <w:r>
              <w:rPr>
                <w:b/>
                <w:bCs/>
              </w:rPr>
              <w:t>Τύπ</w:t>
            </w:r>
            <w:proofErr w:type="spellEnd"/>
            <w:r>
              <w:rPr>
                <w:b/>
                <w:bCs/>
                <w:lang w:val="en-US"/>
              </w:rPr>
              <w:t>o</w:t>
            </w:r>
            <w:r>
              <w:rPr>
                <w:b/>
                <w:bCs/>
              </w:rPr>
              <w:t>ς</w:t>
            </w:r>
          </w:p>
        </w:tc>
        <w:tc>
          <w:tcPr>
            <w:tcW w:w="2577" w:type="dxa"/>
            <w:vAlign w:val="center"/>
            <w:hideMark/>
          </w:tcPr>
          <w:p w:rsidR="006E50AD" w:rsidRPr="00CE6384" w:rsidRDefault="006E50AD" w:rsidP="00B64892">
            <w:pPr>
              <w:jc w:val="center"/>
              <w:rPr>
                <w:b/>
                <w:bCs/>
              </w:rPr>
            </w:pPr>
            <w:r w:rsidRPr="00CE6384">
              <w:rPr>
                <w:b/>
                <w:bCs/>
              </w:rPr>
              <w:t>Περιγραφή</w:t>
            </w:r>
          </w:p>
        </w:tc>
        <w:tc>
          <w:tcPr>
            <w:tcW w:w="2926" w:type="dxa"/>
            <w:vAlign w:val="center"/>
            <w:hideMark/>
          </w:tcPr>
          <w:p w:rsidR="006E50AD" w:rsidRPr="00CE6384" w:rsidRDefault="006E50AD" w:rsidP="00B64892">
            <w:pPr>
              <w:jc w:val="center"/>
              <w:rPr>
                <w:b/>
                <w:bCs/>
              </w:rPr>
            </w:pPr>
            <w:r>
              <w:rPr>
                <w:b/>
                <w:bCs/>
              </w:rPr>
              <w:t>Αποτέλεσμα</w:t>
            </w:r>
          </w:p>
        </w:tc>
      </w:tr>
      <w:tr w:rsidR="006E50AD" w:rsidRPr="006E50AD" w:rsidTr="006E50AD">
        <w:trPr>
          <w:trHeight w:val="1253"/>
        </w:trPr>
        <w:tc>
          <w:tcPr>
            <w:tcW w:w="2793" w:type="dxa"/>
            <w:vAlign w:val="center"/>
          </w:tcPr>
          <w:p w:rsidR="006E50AD" w:rsidRPr="006E50AD" w:rsidRDefault="006E50AD" w:rsidP="006E50AD">
            <w:pPr>
              <w:jc w:val="center"/>
              <w:rPr>
                <w:rFonts w:ascii="Times New Roman" w:hAnsi="Times New Roman" w:cs="Times New Roman"/>
                <w:b/>
                <w:sz w:val="24"/>
                <w:szCs w:val="24"/>
                <w:lang w:val="en-US"/>
              </w:rPr>
            </w:pPr>
            <w:r w:rsidRPr="006E50AD">
              <w:rPr>
                <w:rFonts w:ascii="Times New Roman" w:hAnsi="Times New Roman" w:cs="Times New Roman"/>
                <w:b/>
                <w:sz w:val="24"/>
                <w:szCs w:val="24"/>
                <w:lang w:val="en-US"/>
              </w:rPr>
              <w:t>=NPV(A2;A3;A4;A5;A6)</w:t>
            </w:r>
          </w:p>
        </w:tc>
        <w:tc>
          <w:tcPr>
            <w:tcW w:w="2577" w:type="dxa"/>
            <w:vAlign w:val="center"/>
          </w:tcPr>
          <w:p w:rsidR="006E50AD" w:rsidRPr="006E50AD" w:rsidRDefault="006E50AD" w:rsidP="006E50AD">
            <w:pPr>
              <w:jc w:val="center"/>
              <w:rPr>
                <w:rFonts w:ascii="Times New Roman" w:hAnsi="Times New Roman" w:cs="Times New Roman"/>
                <w:sz w:val="24"/>
                <w:szCs w:val="24"/>
              </w:rPr>
            </w:pPr>
          </w:p>
          <w:p w:rsidR="006E50AD" w:rsidRPr="006E50AD" w:rsidRDefault="006E50AD" w:rsidP="006E50AD">
            <w:pPr>
              <w:jc w:val="center"/>
              <w:rPr>
                <w:rFonts w:ascii="Times New Roman" w:hAnsi="Times New Roman" w:cs="Times New Roman"/>
                <w:sz w:val="24"/>
                <w:szCs w:val="24"/>
              </w:rPr>
            </w:pPr>
            <w:r w:rsidRPr="006E50AD">
              <w:rPr>
                <w:rFonts w:ascii="Times New Roman" w:hAnsi="Times New Roman" w:cs="Times New Roman"/>
                <w:sz w:val="24"/>
                <w:szCs w:val="24"/>
              </w:rPr>
              <w:t>Καθαρή παρούσα αξία αυτής της επένδυσης</w:t>
            </w:r>
          </w:p>
        </w:tc>
        <w:tc>
          <w:tcPr>
            <w:tcW w:w="2926" w:type="dxa"/>
            <w:vAlign w:val="center"/>
          </w:tcPr>
          <w:p w:rsidR="006E50AD" w:rsidRPr="006E50AD" w:rsidRDefault="006E50AD" w:rsidP="006E50AD">
            <w:pPr>
              <w:spacing w:before="100" w:beforeAutospacing="1" w:after="100" w:afterAutospacing="1"/>
              <w:jc w:val="center"/>
              <w:rPr>
                <w:rFonts w:ascii="Times New Roman" w:eastAsia="Times New Roman" w:hAnsi="Times New Roman" w:cs="Times New Roman"/>
                <w:color w:val="363636"/>
                <w:sz w:val="24"/>
                <w:szCs w:val="24"/>
                <w:lang w:eastAsia="el-GR"/>
              </w:rPr>
            </w:pPr>
            <w:r w:rsidRPr="006E50AD">
              <w:rPr>
                <w:rFonts w:ascii="Times New Roman" w:eastAsia="Times New Roman" w:hAnsi="Times New Roman" w:cs="Times New Roman"/>
                <w:color w:val="363636"/>
                <w:sz w:val="24"/>
                <w:szCs w:val="24"/>
                <w:lang w:eastAsia="el-GR"/>
              </w:rPr>
              <w:t>1.188,44 €</w:t>
            </w:r>
          </w:p>
        </w:tc>
      </w:tr>
      <w:tr w:rsidR="006E50AD" w:rsidRPr="006E50AD" w:rsidTr="006E50AD">
        <w:trPr>
          <w:trHeight w:val="1253"/>
        </w:trPr>
        <w:tc>
          <w:tcPr>
            <w:tcW w:w="2793" w:type="dxa"/>
            <w:vAlign w:val="center"/>
          </w:tcPr>
          <w:p w:rsidR="006E50AD" w:rsidRPr="006E50AD" w:rsidRDefault="006E50AD" w:rsidP="006E50AD">
            <w:pPr>
              <w:jc w:val="center"/>
              <w:rPr>
                <w:rFonts w:ascii="Times New Roman" w:hAnsi="Times New Roman" w:cs="Times New Roman"/>
                <w:b/>
                <w:sz w:val="24"/>
                <w:szCs w:val="24"/>
                <w:lang w:val="en-US"/>
              </w:rPr>
            </w:pPr>
            <w:r w:rsidRPr="006E50AD">
              <w:rPr>
                <w:rFonts w:ascii="Times New Roman" w:hAnsi="Times New Roman" w:cs="Times New Roman"/>
                <w:b/>
                <w:sz w:val="24"/>
                <w:szCs w:val="24"/>
                <w:lang w:val="en-US"/>
              </w:rPr>
              <w:t>=NPV(A2;A3:A6)</w:t>
            </w:r>
          </w:p>
        </w:tc>
        <w:tc>
          <w:tcPr>
            <w:tcW w:w="2577" w:type="dxa"/>
            <w:vAlign w:val="center"/>
          </w:tcPr>
          <w:p w:rsidR="006E50AD" w:rsidRPr="006E50AD" w:rsidRDefault="006E50AD" w:rsidP="006E50AD">
            <w:pPr>
              <w:jc w:val="center"/>
              <w:rPr>
                <w:rFonts w:ascii="Times New Roman" w:hAnsi="Times New Roman" w:cs="Times New Roman"/>
                <w:sz w:val="24"/>
                <w:szCs w:val="24"/>
              </w:rPr>
            </w:pPr>
          </w:p>
          <w:p w:rsidR="006E50AD" w:rsidRPr="006E50AD" w:rsidRDefault="006E50AD" w:rsidP="006E50AD">
            <w:pPr>
              <w:jc w:val="center"/>
              <w:rPr>
                <w:rFonts w:ascii="Times New Roman" w:hAnsi="Times New Roman" w:cs="Times New Roman"/>
                <w:sz w:val="24"/>
                <w:szCs w:val="24"/>
              </w:rPr>
            </w:pPr>
            <w:r w:rsidRPr="006E50AD">
              <w:rPr>
                <w:rFonts w:ascii="Times New Roman" w:hAnsi="Times New Roman" w:cs="Times New Roman"/>
                <w:sz w:val="24"/>
                <w:szCs w:val="24"/>
              </w:rPr>
              <w:t>Καθαρή παρούσα αξία αυτής της επένδυσης</w:t>
            </w:r>
          </w:p>
        </w:tc>
        <w:tc>
          <w:tcPr>
            <w:tcW w:w="2926" w:type="dxa"/>
            <w:vAlign w:val="center"/>
          </w:tcPr>
          <w:p w:rsidR="006E50AD" w:rsidRPr="006E50AD" w:rsidRDefault="006E50AD" w:rsidP="006E50AD">
            <w:pPr>
              <w:spacing w:before="100" w:beforeAutospacing="1" w:after="100" w:afterAutospacing="1"/>
              <w:jc w:val="center"/>
              <w:rPr>
                <w:rFonts w:ascii="Times New Roman" w:eastAsia="Times New Roman" w:hAnsi="Times New Roman" w:cs="Times New Roman"/>
                <w:color w:val="363636"/>
                <w:sz w:val="24"/>
                <w:szCs w:val="24"/>
                <w:lang w:eastAsia="el-GR"/>
              </w:rPr>
            </w:pPr>
            <w:r w:rsidRPr="006E50AD">
              <w:rPr>
                <w:rFonts w:ascii="Times New Roman" w:eastAsia="Times New Roman" w:hAnsi="Times New Roman" w:cs="Times New Roman"/>
                <w:color w:val="363636"/>
                <w:sz w:val="24"/>
                <w:szCs w:val="24"/>
                <w:lang w:eastAsia="el-GR"/>
              </w:rPr>
              <w:t>1.188,44 €</w:t>
            </w:r>
          </w:p>
        </w:tc>
      </w:tr>
    </w:tbl>
    <w:p w:rsidR="006E50AD" w:rsidRDefault="006E50AD" w:rsidP="00CE6384">
      <w:pPr>
        <w:spacing w:before="100" w:beforeAutospacing="1" w:after="100" w:afterAutospacing="1" w:line="240" w:lineRule="auto"/>
        <w:rPr>
          <w:rFonts w:ascii="Segoe UI Light" w:eastAsia="Times New Roman" w:hAnsi="Segoe UI Light" w:cs="Segoe UI Light"/>
          <w:color w:val="363636"/>
          <w:sz w:val="28"/>
          <w:szCs w:val="28"/>
          <w:lang w:eastAsia="el-GR"/>
        </w:rPr>
      </w:pPr>
    </w:p>
    <w:p w:rsidR="00CE6384" w:rsidRDefault="00CE6384" w:rsidP="00CE6384">
      <w:pPr>
        <w:spacing w:before="100" w:beforeAutospacing="1" w:after="0" w:line="240" w:lineRule="auto"/>
        <w:outlineLvl w:val="1"/>
        <w:rPr>
          <w:rFonts w:ascii="Segoe UI Light" w:eastAsia="Times New Roman" w:hAnsi="Segoe UI Light" w:cs="Segoe UI Light"/>
          <w:b/>
          <w:color w:val="000000"/>
          <w:sz w:val="40"/>
          <w:szCs w:val="40"/>
          <w:lang w:val="en-US" w:eastAsia="el-GR"/>
        </w:rPr>
      </w:pPr>
      <w:r w:rsidRPr="00CE6384">
        <w:rPr>
          <w:rFonts w:ascii="Segoe UI Light" w:eastAsia="Times New Roman" w:hAnsi="Segoe UI Light" w:cs="Segoe UI Light"/>
          <w:b/>
          <w:color w:val="000000"/>
          <w:sz w:val="40"/>
          <w:szCs w:val="40"/>
          <w:lang w:eastAsia="el-GR"/>
        </w:rPr>
        <w:t>Παράδειγμα</w:t>
      </w:r>
      <w:r>
        <w:rPr>
          <w:rFonts w:ascii="Segoe UI Light" w:eastAsia="Times New Roman" w:hAnsi="Segoe UI Light" w:cs="Segoe UI Light"/>
          <w:b/>
          <w:color w:val="000000"/>
          <w:sz w:val="40"/>
          <w:szCs w:val="40"/>
          <w:lang w:val="en-US" w:eastAsia="el-GR"/>
        </w:rPr>
        <w:t xml:space="preserve"> 2.</w:t>
      </w:r>
    </w:p>
    <w:p w:rsidR="00CE6384" w:rsidRDefault="00CE6384"/>
    <w:tbl>
      <w:tblPr>
        <w:tblStyle w:val="a3"/>
        <w:tblW w:w="0" w:type="auto"/>
        <w:tblLook w:val="04A0" w:firstRow="1" w:lastRow="0" w:firstColumn="1" w:lastColumn="0" w:noHBand="0" w:noVBand="1"/>
      </w:tblPr>
      <w:tblGrid>
        <w:gridCol w:w="1780"/>
        <w:gridCol w:w="2680"/>
        <w:gridCol w:w="3048"/>
      </w:tblGrid>
      <w:tr w:rsidR="00CE6384" w:rsidRPr="00CE6384" w:rsidTr="00CE6384">
        <w:trPr>
          <w:trHeight w:val="557"/>
        </w:trPr>
        <w:tc>
          <w:tcPr>
            <w:tcW w:w="1780" w:type="dxa"/>
            <w:vAlign w:val="center"/>
            <w:hideMark/>
          </w:tcPr>
          <w:p w:rsidR="00CE6384" w:rsidRPr="00CE6384" w:rsidRDefault="00CE6384" w:rsidP="00CE6384">
            <w:pPr>
              <w:jc w:val="center"/>
              <w:rPr>
                <w:b/>
                <w:bCs/>
              </w:rPr>
            </w:pPr>
            <w:r w:rsidRPr="00CE6384">
              <w:rPr>
                <w:b/>
                <w:bCs/>
              </w:rPr>
              <w:t>Δεδομένα</w:t>
            </w:r>
          </w:p>
        </w:tc>
        <w:tc>
          <w:tcPr>
            <w:tcW w:w="2680" w:type="dxa"/>
            <w:vAlign w:val="center"/>
            <w:hideMark/>
          </w:tcPr>
          <w:p w:rsidR="00CE6384" w:rsidRPr="00CE6384" w:rsidRDefault="00CE6384" w:rsidP="00CE6384">
            <w:pPr>
              <w:jc w:val="center"/>
              <w:rPr>
                <w:b/>
                <w:bCs/>
              </w:rPr>
            </w:pPr>
            <w:r w:rsidRPr="00CE6384">
              <w:rPr>
                <w:b/>
                <w:bCs/>
              </w:rPr>
              <w:t>Περιγραφή</w:t>
            </w:r>
          </w:p>
        </w:tc>
        <w:tc>
          <w:tcPr>
            <w:tcW w:w="3048" w:type="dxa"/>
            <w:vAlign w:val="center"/>
            <w:hideMark/>
          </w:tcPr>
          <w:p w:rsidR="00CE6384" w:rsidRPr="00CE6384" w:rsidRDefault="00CE6384" w:rsidP="00CE6384">
            <w:pPr>
              <w:jc w:val="center"/>
              <w:rPr>
                <w:b/>
                <w:bCs/>
              </w:rPr>
            </w:pPr>
          </w:p>
        </w:tc>
      </w:tr>
      <w:tr w:rsidR="00CE6384" w:rsidRPr="00CE6384" w:rsidTr="00CE6384">
        <w:trPr>
          <w:trHeight w:val="1253"/>
        </w:trPr>
        <w:tc>
          <w:tcPr>
            <w:tcW w:w="1780" w:type="dxa"/>
            <w:hideMark/>
          </w:tcPr>
          <w:p w:rsidR="00CE6384" w:rsidRPr="00CE6384" w:rsidRDefault="00CE6384" w:rsidP="00CE6384">
            <w:r w:rsidRPr="00CE6384">
              <w:t>0,08</w:t>
            </w:r>
          </w:p>
        </w:tc>
        <w:tc>
          <w:tcPr>
            <w:tcW w:w="2680" w:type="dxa"/>
            <w:hideMark/>
          </w:tcPr>
          <w:p w:rsidR="00CE6384" w:rsidRPr="00CE6384" w:rsidRDefault="00CE6384">
            <w:r w:rsidRPr="00CE6384">
              <w:t xml:space="preserve">Ετήσιο προεξοφλητικό επιτόκιο. </w:t>
            </w:r>
          </w:p>
        </w:tc>
        <w:tc>
          <w:tcPr>
            <w:tcW w:w="3048" w:type="dxa"/>
            <w:hideMark/>
          </w:tcPr>
          <w:p w:rsidR="00CE6384" w:rsidRPr="00CE6384" w:rsidRDefault="00CE6384">
            <w:r w:rsidRPr="00CE6384">
              <w:t>Ο συντελεστής αυτός μπορεί να αντιπροσωπεύει τον πληθωρισμό ή το επιτόκιο μιας ανταγωνιστικής επένδυσης.</w:t>
            </w:r>
          </w:p>
        </w:tc>
      </w:tr>
      <w:tr w:rsidR="00CE6384" w:rsidRPr="00CE6384" w:rsidTr="00CE6384">
        <w:trPr>
          <w:trHeight w:val="633"/>
        </w:trPr>
        <w:tc>
          <w:tcPr>
            <w:tcW w:w="1780" w:type="dxa"/>
            <w:hideMark/>
          </w:tcPr>
          <w:p w:rsidR="00CE6384" w:rsidRPr="00CE6384" w:rsidRDefault="00CE6384" w:rsidP="00CE6384">
            <w:r w:rsidRPr="00CE6384">
              <w:t>-40000</w:t>
            </w:r>
          </w:p>
        </w:tc>
        <w:tc>
          <w:tcPr>
            <w:tcW w:w="2680" w:type="dxa"/>
            <w:hideMark/>
          </w:tcPr>
          <w:p w:rsidR="00CE6384" w:rsidRPr="00CE6384" w:rsidRDefault="00CE6384">
            <w:r w:rsidRPr="00CE6384">
              <w:t>Αρχικό κόστος της επένδυσης</w:t>
            </w:r>
          </w:p>
        </w:tc>
        <w:tc>
          <w:tcPr>
            <w:tcW w:w="3048" w:type="dxa"/>
            <w:hideMark/>
          </w:tcPr>
          <w:p w:rsidR="00CE6384" w:rsidRPr="00CE6384" w:rsidRDefault="00CE6384"/>
        </w:tc>
      </w:tr>
      <w:tr w:rsidR="00CE6384" w:rsidRPr="00CE6384" w:rsidTr="00CE6384">
        <w:trPr>
          <w:trHeight w:val="556"/>
        </w:trPr>
        <w:tc>
          <w:tcPr>
            <w:tcW w:w="1780" w:type="dxa"/>
            <w:hideMark/>
          </w:tcPr>
          <w:p w:rsidR="00CE6384" w:rsidRPr="00CE6384" w:rsidRDefault="00CE6384" w:rsidP="00CE6384">
            <w:r w:rsidRPr="00CE6384">
              <w:lastRenderedPageBreak/>
              <w:t>8000</w:t>
            </w:r>
          </w:p>
        </w:tc>
        <w:tc>
          <w:tcPr>
            <w:tcW w:w="2680" w:type="dxa"/>
            <w:hideMark/>
          </w:tcPr>
          <w:p w:rsidR="00CE6384" w:rsidRPr="00CE6384" w:rsidRDefault="00CE6384">
            <w:r w:rsidRPr="00CE6384">
              <w:t>Απόδοση κατά το πρώτο έτος</w:t>
            </w:r>
          </w:p>
        </w:tc>
        <w:tc>
          <w:tcPr>
            <w:tcW w:w="3048" w:type="dxa"/>
            <w:hideMark/>
          </w:tcPr>
          <w:p w:rsidR="00CE6384" w:rsidRPr="00CE6384" w:rsidRDefault="00CE6384"/>
        </w:tc>
      </w:tr>
      <w:tr w:rsidR="00CE6384" w:rsidRPr="00CE6384" w:rsidTr="00CE6384">
        <w:trPr>
          <w:trHeight w:val="550"/>
        </w:trPr>
        <w:tc>
          <w:tcPr>
            <w:tcW w:w="1780" w:type="dxa"/>
            <w:hideMark/>
          </w:tcPr>
          <w:p w:rsidR="00CE6384" w:rsidRPr="00CE6384" w:rsidRDefault="00CE6384" w:rsidP="00CE6384">
            <w:r w:rsidRPr="00CE6384">
              <w:t>9200</w:t>
            </w:r>
          </w:p>
        </w:tc>
        <w:tc>
          <w:tcPr>
            <w:tcW w:w="2680" w:type="dxa"/>
            <w:hideMark/>
          </w:tcPr>
          <w:p w:rsidR="00CE6384" w:rsidRPr="00CE6384" w:rsidRDefault="00CE6384">
            <w:r w:rsidRPr="00CE6384">
              <w:t>Απόδοση κατά το δεύτερο έτος</w:t>
            </w:r>
          </w:p>
        </w:tc>
        <w:tc>
          <w:tcPr>
            <w:tcW w:w="3048" w:type="dxa"/>
            <w:hideMark/>
          </w:tcPr>
          <w:p w:rsidR="00CE6384" w:rsidRPr="00CE6384" w:rsidRDefault="00CE6384"/>
        </w:tc>
      </w:tr>
      <w:tr w:rsidR="00CE6384" w:rsidRPr="00CE6384" w:rsidTr="00CE6384">
        <w:trPr>
          <w:trHeight w:val="700"/>
        </w:trPr>
        <w:tc>
          <w:tcPr>
            <w:tcW w:w="1780" w:type="dxa"/>
            <w:hideMark/>
          </w:tcPr>
          <w:p w:rsidR="00CE6384" w:rsidRPr="00CE6384" w:rsidRDefault="00CE6384" w:rsidP="00CE6384">
            <w:r w:rsidRPr="00CE6384">
              <w:t>10000</w:t>
            </w:r>
          </w:p>
        </w:tc>
        <w:tc>
          <w:tcPr>
            <w:tcW w:w="2680" w:type="dxa"/>
            <w:hideMark/>
          </w:tcPr>
          <w:p w:rsidR="00CE6384" w:rsidRPr="00CE6384" w:rsidRDefault="00CE6384">
            <w:r w:rsidRPr="00CE6384">
              <w:t>Απόδοση κατά το τρίτο έτος</w:t>
            </w:r>
          </w:p>
        </w:tc>
        <w:tc>
          <w:tcPr>
            <w:tcW w:w="3048" w:type="dxa"/>
            <w:hideMark/>
          </w:tcPr>
          <w:p w:rsidR="00CE6384" w:rsidRPr="00CE6384" w:rsidRDefault="00CE6384"/>
        </w:tc>
      </w:tr>
      <w:tr w:rsidR="00CE6384" w:rsidRPr="00CE6384" w:rsidTr="00CE6384">
        <w:trPr>
          <w:trHeight w:val="568"/>
        </w:trPr>
        <w:tc>
          <w:tcPr>
            <w:tcW w:w="1780" w:type="dxa"/>
            <w:hideMark/>
          </w:tcPr>
          <w:p w:rsidR="00CE6384" w:rsidRPr="00CE6384" w:rsidRDefault="00CE6384" w:rsidP="00CE6384">
            <w:r w:rsidRPr="00CE6384">
              <w:t>12000</w:t>
            </w:r>
          </w:p>
        </w:tc>
        <w:tc>
          <w:tcPr>
            <w:tcW w:w="2680" w:type="dxa"/>
            <w:hideMark/>
          </w:tcPr>
          <w:p w:rsidR="00CE6384" w:rsidRPr="00CE6384" w:rsidRDefault="00CE6384">
            <w:r w:rsidRPr="00CE6384">
              <w:t>Απόδοση κατά το τέταρτο έτος</w:t>
            </w:r>
          </w:p>
        </w:tc>
        <w:tc>
          <w:tcPr>
            <w:tcW w:w="3048" w:type="dxa"/>
            <w:hideMark/>
          </w:tcPr>
          <w:p w:rsidR="00CE6384" w:rsidRPr="00CE6384" w:rsidRDefault="00CE6384"/>
        </w:tc>
      </w:tr>
      <w:tr w:rsidR="00CE6384" w:rsidRPr="00CE6384" w:rsidTr="00CE6384">
        <w:trPr>
          <w:trHeight w:val="690"/>
        </w:trPr>
        <w:tc>
          <w:tcPr>
            <w:tcW w:w="1780" w:type="dxa"/>
            <w:hideMark/>
          </w:tcPr>
          <w:p w:rsidR="00CE6384" w:rsidRPr="00CE6384" w:rsidRDefault="00CE6384" w:rsidP="00CE6384">
            <w:r w:rsidRPr="00CE6384">
              <w:t>14500</w:t>
            </w:r>
          </w:p>
        </w:tc>
        <w:tc>
          <w:tcPr>
            <w:tcW w:w="2680" w:type="dxa"/>
            <w:hideMark/>
          </w:tcPr>
          <w:p w:rsidR="00CE6384" w:rsidRPr="00CE6384" w:rsidRDefault="00CE6384" w:rsidP="00CE6384">
            <w:r w:rsidRPr="00CE6384">
              <w:t>Απόδοση κατά το πέμπτο έτος</w:t>
            </w:r>
          </w:p>
        </w:tc>
        <w:tc>
          <w:tcPr>
            <w:tcW w:w="3048" w:type="dxa"/>
            <w:noWrap/>
            <w:hideMark/>
          </w:tcPr>
          <w:p w:rsidR="00CE6384" w:rsidRPr="00CE6384" w:rsidRDefault="00CE6384"/>
        </w:tc>
      </w:tr>
    </w:tbl>
    <w:p w:rsidR="00CE6384" w:rsidRDefault="00CE6384"/>
    <w:p w:rsidR="00CE6384" w:rsidRDefault="00CE6384"/>
    <w:tbl>
      <w:tblPr>
        <w:tblStyle w:val="a3"/>
        <w:tblW w:w="0" w:type="auto"/>
        <w:tblLook w:val="04A0" w:firstRow="1" w:lastRow="0" w:firstColumn="1" w:lastColumn="0" w:noHBand="0" w:noVBand="1"/>
      </w:tblPr>
      <w:tblGrid>
        <w:gridCol w:w="2793"/>
        <w:gridCol w:w="3156"/>
        <w:gridCol w:w="2347"/>
      </w:tblGrid>
      <w:tr w:rsidR="006E50AD" w:rsidRPr="00CE6384" w:rsidTr="00C0003D">
        <w:trPr>
          <w:trHeight w:val="557"/>
        </w:trPr>
        <w:tc>
          <w:tcPr>
            <w:tcW w:w="2793" w:type="dxa"/>
            <w:vAlign w:val="center"/>
            <w:hideMark/>
          </w:tcPr>
          <w:p w:rsidR="006E50AD" w:rsidRPr="00CE6384" w:rsidRDefault="006E50AD" w:rsidP="00B64892">
            <w:pPr>
              <w:jc w:val="center"/>
              <w:rPr>
                <w:b/>
                <w:bCs/>
              </w:rPr>
            </w:pPr>
            <w:proofErr w:type="spellStart"/>
            <w:r>
              <w:rPr>
                <w:b/>
                <w:bCs/>
              </w:rPr>
              <w:t>Τύπ</w:t>
            </w:r>
            <w:proofErr w:type="spellEnd"/>
            <w:r>
              <w:rPr>
                <w:b/>
                <w:bCs/>
                <w:lang w:val="en-US"/>
              </w:rPr>
              <w:t>o</w:t>
            </w:r>
            <w:r>
              <w:rPr>
                <w:b/>
                <w:bCs/>
              </w:rPr>
              <w:t>ς</w:t>
            </w:r>
          </w:p>
        </w:tc>
        <w:tc>
          <w:tcPr>
            <w:tcW w:w="3156" w:type="dxa"/>
            <w:vAlign w:val="center"/>
            <w:hideMark/>
          </w:tcPr>
          <w:p w:rsidR="006E50AD" w:rsidRPr="00CE6384" w:rsidRDefault="006E50AD" w:rsidP="00B64892">
            <w:pPr>
              <w:jc w:val="center"/>
              <w:rPr>
                <w:b/>
                <w:bCs/>
              </w:rPr>
            </w:pPr>
            <w:r w:rsidRPr="00CE6384">
              <w:rPr>
                <w:b/>
                <w:bCs/>
              </w:rPr>
              <w:t>Περιγραφή</w:t>
            </w:r>
          </w:p>
        </w:tc>
        <w:tc>
          <w:tcPr>
            <w:tcW w:w="2347" w:type="dxa"/>
            <w:vAlign w:val="center"/>
            <w:hideMark/>
          </w:tcPr>
          <w:p w:rsidR="006E50AD" w:rsidRPr="00CE6384" w:rsidRDefault="006E50AD" w:rsidP="00B64892">
            <w:pPr>
              <w:jc w:val="center"/>
              <w:rPr>
                <w:b/>
                <w:bCs/>
              </w:rPr>
            </w:pPr>
            <w:r>
              <w:rPr>
                <w:b/>
                <w:bCs/>
              </w:rPr>
              <w:t>Αποτέλεσμα</w:t>
            </w:r>
          </w:p>
        </w:tc>
      </w:tr>
      <w:tr w:rsidR="006E50AD" w:rsidRPr="006E50AD" w:rsidTr="00C0003D">
        <w:trPr>
          <w:trHeight w:val="1012"/>
        </w:trPr>
        <w:tc>
          <w:tcPr>
            <w:tcW w:w="2793" w:type="dxa"/>
            <w:vAlign w:val="center"/>
          </w:tcPr>
          <w:p w:rsidR="006E50AD" w:rsidRPr="006E50AD" w:rsidRDefault="006E50AD" w:rsidP="00B64892">
            <w:pPr>
              <w:jc w:val="center"/>
              <w:rPr>
                <w:rFonts w:ascii="Times New Roman" w:hAnsi="Times New Roman" w:cs="Times New Roman"/>
                <w:b/>
                <w:sz w:val="24"/>
                <w:szCs w:val="24"/>
                <w:lang w:val="en-US"/>
              </w:rPr>
            </w:pPr>
            <w:r w:rsidRPr="006E50AD">
              <w:rPr>
                <w:rFonts w:ascii="Times New Roman" w:hAnsi="Times New Roman" w:cs="Times New Roman"/>
                <w:b/>
                <w:sz w:val="24"/>
                <w:szCs w:val="24"/>
                <w:lang w:val="en-US"/>
              </w:rPr>
              <w:t>=NPV(A2;A4:A8)+A3</w:t>
            </w:r>
          </w:p>
        </w:tc>
        <w:tc>
          <w:tcPr>
            <w:tcW w:w="3156" w:type="dxa"/>
            <w:vAlign w:val="center"/>
          </w:tcPr>
          <w:p w:rsidR="006E50AD" w:rsidRPr="006E50AD" w:rsidRDefault="006E50AD" w:rsidP="00B64892">
            <w:pPr>
              <w:jc w:val="center"/>
              <w:rPr>
                <w:rFonts w:ascii="Times New Roman" w:hAnsi="Times New Roman" w:cs="Times New Roman"/>
                <w:sz w:val="24"/>
                <w:szCs w:val="24"/>
              </w:rPr>
            </w:pPr>
            <w:r w:rsidRPr="006E50AD">
              <w:rPr>
                <w:rFonts w:ascii="Times New Roman" w:hAnsi="Times New Roman" w:cs="Times New Roman"/>
                <w:sz w:val="24"/>
                <w:szCs w:val="24"/>
              </w:rPr>
              <w:t>Καθαρή παρούσα αξία αυτής της επένδυσης</w:t>
            </w:r>
          </w:p>
        </w:tc>
        <w:tc>
          <w:tcPr>
            <w:tcW w:w="2347" w:type="dxa"/>
            <w:vAlign w:val="center"/>
          </w:tcPr>
          <w:p w:rsidR="006E50AD" w:rsidRPr="00C0003D" w:rsidRDefault="00C0003D" w:rsidP="00C0003D">
            <w:pPr>
              <w:spacing w:before="100" w:beforeAutospacing="1" w:after="100" w:afterAutospacing="1"/>
              <w:jc w:val="center"/>
              <w:rPr>
                <w:rFonts w:ascii="Times New Roman" w:eastAsia="Times New Roman" w:hAnsi="Times New Roman" w:cs="Times New Roman"/>
                <w:b/>
                <w:color w:val="363636"/>
                <w:sz w:val="24"/>
                <w:szCs w:val="24"/>
                <w:lang w:eastAsia="el-GR"/>
              </w:rPr>
            </w:pPr>
            <w:r w:rsidRPr="00C0003D">
              <w:rPr>
                <w:rFonts w:ascii="Times New Roman" w:eastAsia="Times New Roman" w:hAnsi="Times New Roman" w:cs="Times New Roman"/>
                <w:b/>
                <w:color w:val="363636"/>
                <w:sz w:val="24"/>
                <w:szCs w:val="24"/>
                <w:lang w:eastAsia="el-GR"/>
              </w:rPr>
              <w:t>1.922,06</w:t>
            </w:r>
            <w:r w:rsidR="006E50AD" w:rsidRPr="00C0003D">
              <w:rPr>
                <w:rFonts w:ascii="Times New Roman" w:eastAsia="Times New Roman" w:hAnsi="Times New Roman" w:cs="Times New Roman"/>
                <w:b/>
                <w:color w:val="363636"/>
                <w:sz w:val="24"/>
                <w:szCs w:val="24"/>
                <w:lang w:eastAsia="el-GR"/>
              </w:rPr>
              <w:t xml:space="preserve"> €</w:t>
            </w:r>
          </w:p>
        </w:tc>
      </w:tr>
      <w:tr w:rsidR="006E50AD" w:rsidRPr="006E50AD" w:rsidTr="00C0003D">
        <w:trPr>
          <w:trHeight w:val="984"/>
        </w:trPr>
        <w:tc>
          <w:tcPr>
            <w:tcW w:w="2793" w:type="dxa"/>
            <w:vAlign w:val="center"/>
          </w:tcPr>
          <w:p w:rsidR="006E50AD" w:rsidRPr="006E50AD" w:rsidRDefault="006E50AD" w:rsidP="00B64892">
            <w:pPr>
              <w:jc w:val="center"/>
              <w:rPr>
                <w:rFonts w:ascii="Times New Roman" w:hAnsi="Times New Roman" w:cs="Times New Roman"/>
                <w:b/>
                <w:sz w:val="24"/>
                <w:szCs w:val="24"/>
                <w:lang w:val="en-US"/>
              </w:rPr>
            </w:pPr>
            <w:r w:rsidRPr="006E50AD">
              <w:rPr>
                <w:rFonts w:ascii="Times New Roman" w:hAnsi="Times New Roman" w:cs="Times New Roman"/>
                <w:b/>
                <w:sz w:val="24"/>
                <w:szCs w:val="24"/>
                <w:lang w:val="en-US"/>
              </w:rPr>
              <w:t>=NPV(A2;A4:A8;-9000)+A3</w:t>
            </w:r>
          </w:p>
        </w:tc>
        <w:tc>
          <w:tcPr>
            <w:tcW w:w="3156" w:type="dxa"/>
            <w:vAlign w:val="center"/>
          </w:tcPr>
          <w:p w:rsidR="006E50AD" w:rsidRPr="00C0003D" w:rsidRDefault="006E50AD" w:rsidP="00B64892">
            <w:pPr>
              <w:jc w:val="center"/>
              <w:rPr>
                <w:rFonts w:ascii="Times New Roman" w:hAnsi="Times New Roman" w:cs="Times New Roman"/>
                <w:sz w:val="24"/>
                <w:szCs w:val="24"/>
              </w:rPr>
            </w:pPr>
            <w:r w:rsidRPr="006E50AD">
              <w:rPr>
                <w:rFonts w:ascii="Times New Roman" w:hAnsi="Times New Roman" w:cs="Times New Roman"/>
                <w:sz w:val="24"/>
                <w:szCs w:val="24"/>
              </w:rPr>
              <w:t>Καθαρή παρούσα αξία αυτής της επένδυσης</w:t>
            </w:r>
            <w:r w:rsidR="00C0003D" w:rsidRPr="00C0003D">
              <w:rPr>
                <w:rFonts w:ascii="Times New Roman" w:hAnsi="Times New Roman" w:cs="Times New Roman"/>
                <w:sz w:val="24"/>
                <w:szCs w:val="24"/>
              </w:rPr>
              <w:t xml:space="preserve"> </w:t>
            </w:r>
            <w:r w:rsidR="00C0003D">
              <w:rPr>
                <w:rFonts w:ascii="Times New Roman" w:hAnsi="Times New Roman" w:cs="Times New Roman"/>
                <w:sz w:val="24"/>
                <w:szCs w:val="24"/>
              </w:rPr>
              <w:t>με ζημιά          -9.000 κατά το 6</w:t>
            </w:r>
            <w:r w:rsidR="00C0003D" w:rsidRPr="00C0003D">
              <w:rPr>
                <w:rFonts w:ascii="Times New Roman" w:hAnsi="Times New Roman" w:cs="Times New Roman"/>
                <w:sz w:val="24"/>
                <w:szCs w:val="24"/>
                <w:vertAlign w:val="superscript"/>
              </w:rPr>
              <w:t>ο</w:t>
            </w:r>
            <w:r w:rsidR="00C0003D">
              <w:rPr>
                <w:rFonts w:ascii="Times New Roman" w:hAnsi="Times New Roman" w:cs="Times New Roman"/>
                <w:sz w:val="24"/>
                <w:szCs w:val="24"/>
              </w:rPr>
              <w:t xml:space="preserve"> έτος</w:t>
            </w:r>
          </w:p>
        </w:tc>
        <w:tc>
          <w:tcPr>
            <w:tcW w:w="2347" w:type="dxa"/>
            <w:vAlign w:val="center"/>
          </w:tcPr>
          <w:p w:rsidR="006E50AD" w:rsidRPr="00C0003D" w:rsidRDefault="00C0003D" w:rsidP="00C0003D">
            <w:pPr>
              <w:spacing w:before="100" w:beforeAutospacing="1" w:after="100" w:afterAutospacing="1"/>
              <w:jc w:val="center"/>
              <w:rPr>
                <w:rFonts w:ascii="Times New Roman" w:eastAsia="Times New Roman" w:hAnsi="Times New Roman" w:cs="Times New Roman"/>
                <w:b/>
                <w:color w:val="363636"/>
                <w:sz w:val="24"/>
                <w:szCs w:val="24"/>
                <w:lang w:eastAsia="el-GR"/>
              </w:rPr>
            </w:pPr>
            <w:r w:rsidRPr="00C0003D">
              <w:rPr>
                <w:rFonts w:ascii="Times New Roman" w:eastAsia="Times New Roman" w:hAnsi="Times New Roman" w:cs="Times New Roman"/>
                <w:b/>
                <w:color w:val="363636"/>
                <w:sz w:val="24"/>
                <w:szCs w:val="24"/>
                <w:lang w:eastAsia="el-GR"/>
              </w:rPr>
              <w:t>-3</w:t>
            </w:r>
            <w:r w:rsidR="006E50AD" w:rsidRPr="00C0003D">
              <w:rPr>
                <w:rFonts w:ascii="Times New Roman" w:eastAsia="Times New Roman" w:hAnsi="Times New Roman" w:cs="Times New Roman"/>
                <w:b/>
                <w:color w:val="363636"/>
                <w:sz w:val="24"/>
                <w:szCs w:val="24"/>
                <w:lang w:eastAsia="el-GR"/>
              </w:rPr>
              <w:t>.</w:t>
            </w:r>
            <w:r w:rsidRPr="00C0003D">
              <w:rPr>
                <w:rFonts w:ascii="Times New Roman" w:eastAsia="Times New Roman" w:hAnsi="Times New Roman" w:cs="Times New Roman"/>
                <w:b/>
                <w:color w:val="363636"/>
                <w:sz w:val="24"/>
                <w:szCs w:val="24"/>
                <w:lang w:eastAsia="el-GR"/>
              </w:rPr>
              <w:t>749,47</w:t>
            </w:r>
            <w:r w:rsidR="006E50AD" w:rsidRPr="00C0003D">
              <w:rPr>
                <w:rFonts w:ascii="Times New Roman" w:eastAsia="Times New Roman" w:hAnsi="Times New Roman" w:cs="Times New Roman"/>
                <w:b/>
                <w:color w:val="363636"/>
                <w:sz w:val="24"/>
                <w:szCs w:val="24"/>
                <w:lang w:eastAsia="el-GR"/>
              </w:rPr>
              <w:t xml:space="preserve"> €</w:t>
            </w:r>
          </w:p>
        </w:tc>
      </w:tr>
    </w:tbl>
    <w:p w:rsidR="00CE6384" w:rsidRDefault="00CE6384"/>
    <w:p w:rsidR="00993735" w:rsidRDefault="00993735"/>
    <w:p w:rsidR="00993735" w:rsidRDefault="00993735"/>
    <w:p w:rsidR="00993735" w:rsidRPr="00CE6384" w:rsidRDefault="00993735" w:rsidP="00993735">
      <w:pPr>
        <w:spacing w:before="105" w:after="0" w:line="240" w:lineRule="auto"/>
        <w:jc w:val="center"/>
        <w:outlineLvl w:val="0"/>
        <w:rPr>
          <w:rFonts w:ascii="Segoe UI Light" w:eastAsia="Times New Roman" w:hAnsi="Segoe UI Light" w:cs="Segoe UI Light"/>
          <w:b/>
          <w:color w:val="000000"/>
          <w:kern w:val="36"/>
          <w:sz w:val="40"/>
          <w:szCs w:val="40"/>
          <w:u w:val="single"/>
          <w:lang w:eastAsia="el-GR"/>
        </w:rPr>
      </w:pPr>
      <w:r w:rsidRPr="00CE6384">
        <w:rPr>
          <w:rFonts w:ascii="Segoe UI Light" w:eastAsia="Times New Roman" w:hAnsi="Segoe UI Light" w:cs="Segoe UI Light"/>
          <w:b/>
          <w:color w:val="000000"/>
          <w:kern w:val="36"/>
          <w:sz w:val="40"/>
          <w:szCs w:val="40"/>
          <w:u w:val="single"/>
          <w:lang w:eastAsia="el-GR"/>
        </w:rPr>
        <w:t xml:space="preserve">Συνάρτηση </w:t>
      </w:r>
      <w:r>
        <w:rPr>
          <w:rFonts w:ascii="Segoe UI Light" w:eastAsia="Times New Roman" w:hAnsi="Segoe UI Light" w:cs="Segoe UI Light"/>
          <w:b/>
          <w:color w:val="000000"/>
          <w:kern w:val="36"/>
          <w:sz w:val="40"/>
          <w:szCs w:val="40"/>
          <w:u w:val="single"/>
          <w:lang w:val="en-US" w:eastAsia="el-GR"/>
        </w:rPr>
        <w:t>IRR</w:t>
      </w:r>
    </w:p>
    <w:p w:rsidR="00993735" w:rsidRDefault="00993735"/>
    <w:p w:rsidR="00993735" w:rsidRPr="00993735" w:rsidRDefault="00993735" w:rsidP="00993735">
      <w:pPr>
        <w:jc w:val="both"/>
        <w:rPr>
          <w:rFonts w:ascii="Arial" w:hAnsi="Arial" w:cs="Arial"/>
          <w:sz w:val="32"/>
        </w:rPr>
      </w:pPr>
      <w:r w:rsidRPr="00993735">
        <w:rPr>
          <w:rFonts w:ascii="Arial" w:hAnsi="Arial" w:cs="Arial"/>
          <w:sz w:val="28"/>
          <w:szCs w:val="20"/>
        </w:rPr>
        <w:t xml:space="preserve">Αποδίδει το συντελεστή εσωτερικής απόδοσης μίας σειράς ταμειακών ροών που αντιπροσωπεύονται από τα ποσά του πίνακα </w:t>
      </w:r>
      <w:proofErr w:type="spellStart"/>
      <w:r w:rsidRPr="00993735">
        <w:rPr>
          <w:rFonts w:ascii="Arial" w:hAnsi="Arial" w:cs="Arial"/>
          <w:sz w:val="28"/>
          <w:szCs w:val="20"/>
        </w:rPr>
        <w:t>values</w:t>
      </w:r>
      <w:proofErr w:type="spellEnd"/>
      <w:r w:rsidRPr="00993735">
        <w:rPr>
          <w:rFonts w:ascii="Arial" w:hAnsi="Arial" w:cs="Arial"/>
          <w:sz w:val="28"/>
          <w:szCs w:val="20"/>
        </w:rPr>
        <w:t xml:space="preserve">. Οι ταμειακές ροές δεν χρειάζεται να είναι άρτιες, όπως θα συνέβαινε σε προσόδους. Ωστόσο, οι ταμειακές συναλλαγές πρέπει να λαμβάνουν χώρα σε τακτά διαστήματα, όπως σε μηνιαία ή ετήσια βάση. Ο συντελεστής εσωτερικής απόδοσης είναι το επιτόκιο που λαμβάνετε για μια επένδυση που περιλαμβάνει πληρωμές (αρνητικές τιμές του πίνακα </w:t>
      </w:r>
      <w:proofErr w:type="spellStart"/>
      <w:r w:rsidRPr="00993735">
        <w:rPr>
          <w:rFonts w:ascii="Arial" w:hAnsi="Arial" w:cs="Arial"/>
          <w:sz w:val="28"/>
          <w:szCs w:val="20"/>
        </w:rPr>
        <w:t>values</w:t>
      </w:r>
      <w:proofErr w:type="spellEnd"/>
      <w:r w:rsidRPr="00993735">
        <w:rPr>
          <w:rFonts w:ascii="Arial" w:hAnsi="Arial" w:cs="Arial"/>
          <w:sz w:val="28"/>
          <w:szCs w:val="20"/>
        </w:rPr>
        <w:t xml:space="preserve">) και εισπράξεις (θετικές τιμές του πίνακα </w:t>
      </w:r>
      <w:proofErr w:type="spellStart"/>
      <w:r w:rsidRPr="00993735">
        <w:rPr>
          <w:rFonts w:ascii="Arial" w:hAnsi="Arial" w:cs="Arial"/>
          <w:sz w:val="28"/>
          <w:szCs w:val="20"/>
        </w:rPr>
        <w:t>values</w:t>
      </w:r>
      <w:proofErr w:type="spellEnd"/>
      <w:r w:rsidRPr="00993735">
        <w:rPr>
          <w:rFonts w:ascii="Arial" w:hAnsi="Arial" w:cs="Arial"/>
          <w:sz w:val="28"/>
          <w:szCs w:val="20"/>
        </w:rPr>
        <w:t>), οι οποίες πραγματοποιούνται σε τακτά χρονικά διαστήματα.</w:t>
      </w:r>
    </w:p>
    <w:p w:rsidR="00993735" w:rsidRPr="00993735" w:rsidRDefault="00993735" w:rsidP="00993735">
      <w:pPr>
        <w:jc w:val="both"/>
        <w:rPr>
          <w:rFonts w:ascii="Arial" w:hAnsi="Arial" w:cs="Arial"/>
          <w:sz w:val="32"/>
        </w:rPr>
      </w:pPr>
    </w:p>
    <w:p w:rsidR="00993735" w:rsidRPr="00993735" w:rsidRDefault="00993735" w:rsidP="00993735">
      <w:pPr>
        <w:jc w:val="both"/>
        <w:rPr>
          <w:rFonts w:ascii="Arial" w:hAnsi="Arial" w:cs="Arial"/>
          <w:sz w:val="32"/>
        </w:rPr>
      </w:pPr>
    </w:p>
    <w:p w:rsidR="00993735" w:rsidRPr="00993735" w:rsidRDefault="00993735" w:rsidP="00993735">
      <w:pPr>
        <w:pStyle w:val="Default"/>
        <w:jc w:val="both"/>
        <w:rPr>
          <w:rFonts w:ascii="Arial" w:hAnsi="Arial" w:cs="Arial"/>
          <w:sz w:val="28"/>
          <w:szCs w:val="20"/>
        </w:rPr>
      </w:pPr>
      <w:r w:rsidRPr="00993735">
        <w:rPr>
          <w:rFonts w:ascii="Arial" w:hAnsi="Arial" w:cs="Arial"/>
          <w:b/>
          <w:bCs/>
          <w:sz w:val="28"/>
          <w:szCs w:val="20"/>
        </w:rPr>
        <w:lastRenderedPageBreak/>
        <w:t xml:space="preserve">Σύνταξη </w:t>
      </w:r>
    </w:p>
    <w:p w:rsidR="00993735" w:rsidRPr="00993735" w:rsidRDefault="00993735" w:rsidP="00993735">
      <w:pPr>
        <w:pStyle w:val="Default"/>
        <w:jc w:val="both"/>
        <w:rPr>
          <w:rFonts w:ascii="Arial" w:hAnsi="Arial" w:cs="Arial"/>
          <w:sz w:val="28"/>
          <w:szCs w:val="20"/>
        </w:rPr>
      </w:pPr>
      <w:r w:rsidRPr="00993735">
        <w:rPr>
          <w:rFonts w:ascii="Arial" w:hAnsi="Arial" w:cs="Arial"/>
          <w:b/>
          <w:bCs/>
          <w:sz w:val="28"/>
          <w:szCs w:val="20"/>
        </w:rPr>
        <w:t>IRR</w:t>
      </w:r>
      <w:r w:rsidRPr="00993735">
        <w:rPr>
          <w:rFonts w:ascii="Arial" w:hAnsi="Arial" w:cs="Arial"/>
          <w:sz w:val="28"/>
          <w:szCs w:val="20"/>
        </w:rPr>
        <w:t>(</w:t>
      </w:r>
      <w:proofErr w:type="spellStart"/>
      <w:r w:rsidRPr="00993735">
        <w:rPr>
          <w:rFonts w:ascii="Arial" w:hAnsi="Arial" w:cs="Arial"/>
          <w:b/>
          <w:bCs/>
          <w:sz w:val="28"/>
          <w:szCs w:val="20"/>
        </w:rPr>
        <w:t>values</w:t>
      </w:r>
      <w:r w:rsidRPr="00993735">
        <w:rPr>
          <w:rFonts w:ascii="Arial" w:hAnsi="Arial" w:cs="Arial"/>
          <w:sz w:val="28"/>
          <w:szCs w:val="20"/>
        </w:rPr>
        <w:t>;guess</w:t>
      </w:r>
      <w:proofErr w:type="spellEnd"/>
      <w:r w:rsidRPr="00993735">
        <w:rPr>
          <w:rFonts w:ascii="Arial" w:hAnsi="Arial" w:cs="Arial"/>
          <w:sz w:val="28"/>
          <w:szCs w:val="20"/>
        </w:rPr>
        <w:t xml:space="preserve">) </w:t>
      </w:r>
    </w:p>
    <w:p w:rsidR="00993735" w:rsidRPr="00993735" w:rsidRDefault="00993735" w:rsidP="00993735">
      <w:pPr>
        <w:pStyle w:val="Default"/>
        <w:jc w:val="both"/>
        <w:rPr>
          <w:rFonts w:ascii="Arial" w:hAnsi="Arial" w:cs="Arial"/>
          <w:sz w:val="28"/>
          <w:szCs w:val="20"/>
        </w:rPr>
      </w:pPr>
      <w:proofErr w:type="spellStart"/>
      <w:r w:rsidRPr="00993735">
        <w:rPr>
          <w:rFonts w:ascii="Arial" w:hAnsi="Arial" w:cs="Arial"/>
          <w:b/>
          <w:bCs/>
          <w:sz w:val="28"/>
          <w:szCs w:val="20"/>
        </w:rPr>
        <w:t>Values</w:t>
      </w:r>
      <w:proofErr w:type="spellEnd"/>
      <w:r w:rsidRPr="00993735">
        <w:rPr>
          <w:rFonts w:ascii="Arial" w:hAnsi="Arial" w:cs="Arial"/>
          <w:b/>
          <w:bCs/>
          <w:sz w:val="28"/>
          <w:szCs w:val="20"/>
        </w:rPr>
        <w:t xml:space="preserve"> </w:t>
      </w:r>
      <w:r w:rsidRPr="00993735">
        <w:rPr>
          <w:rFonts w:ascii="Arial" w:hAnsi="Arial" w:cs="Arial"/>
          <w:sz w:val="28"/>
          <w:szCs w:val="20"/>
        </w:rPr>
        <w:t xml:space="preserve">είναι πίνακας ή αναφορά κελιών που περιέχει αριθμούς (ποσά ταμειακών ροών), για τους οποίους θέλετε να υπολογίσετε το συντελεστή εσωτερικής απόδοσης. </w:t>
      </w:r>
    </w:p>
    <w:p w:rsidR="00993735" w:rsidRPr="00993735" w:rsidRDefault="00993735" w:rsidP="00993735">
      <w:pPr>
        <w:pStyle w:val="Default"/>
        <w:numPr>
          <w:ilvl w:val="0"/>
          <w:numId w:val="6"/>
        </w:numPr>
        <w:spacing w:after="49"/>
        <w:jc w:val="both"/>
        <w:rPr>
          <w:rFonts w:ascii="Arial" w:hAnsi="Arial" w:cs="Arial"/>
          <w:sz w:val="28"/>
          <w:szCs w:val="20"/>
        </w:rPr>
      </w:pPr>
      <w:r w:rsidRPr="00993735">
        <w:rPr>
          <w:rFonts w:ascii="Arial" w:hAnsi="Arial" w:cs="Arial"/>
          <w:sz w:val="28"/>
          <w:szCs w:val="20"/>
        </w:rPr>
        <w:t xml:space="preserve">Το όρισμα </w:t>
      </w:r>
      <w:proofErr w:type="spellStart"/>
      <w:r w:rsidRPr="00993735">
        <w:rPr>
          <w:rFonts w:ascii="Arial" w:hAnsi="Arial" w:cs="Arial"/>
          <w:sz w:val="28"/>
          <w:szCs w:val="20"/>
        </w:rPr>
        <w:t>values</w:t>
      </w:r>
      <w:proofErr w:type="spellEnd"/>
      <w:r w:rsidRPr="00993735">
        <w:rPr>
          <w:rFonts w:ascii="Arial" w:hAnsi="Arial" w:cs="Arial"/>
          <w:sz w:val="28"/>
          <w:szCs w:val="20"/>
        </w:rPr>
        <w:t xml:space="preserve"> πρέπει να περιέχει τουλάχιστον μία θετική και μία αρνητική τιμή, για να μπορεί να υπολογιστεί ο συντελεστής εσωτερικής απόδοσης. </w:t>
      </w:r>
    </w:p>
    <w:p w:rsidR="00993735" w:rsidRPr="00993735" w:rsidRDefault="00993735" w:rsidP="00993735">
      <w:pPr>
        <w:pStyle w:val="Default"/>
        <w:numPr>
          <w:ilvl w:val="0"/>
          <w:numId w:val="6"/>
        </w:numPr>
        <w:spacing w:after="49"/>
        <w:jc w:val="both"/>
        <w:rPr>
          <w:rFonts w:ascii="Arial" w:hAnsi="Arial" w:cs="Arial"/>
          <w:sz w:val="28"/>
          <w:szCs w:val="20"/>
        </w:rPr>
      </w:pPr>
      <w:r w:rsidRPr="00993735">
        <w:rPr>
          <w:rFonts w:ascii="Arial" w:hAnsi="Arial" w:cs="Arial"/>
          <w:sz w:val="28"/>
          <w:szCs w:val="20"/>
        </w:rPr>
        <w:t xml:space="preserve">Η συνάρτηση IRR χρησιμοποιεί τη διάταξη των τιμών στον πίνακα </w:t>
      </w:r>
      <w:proofErr w:type="spellStart"/>
      <w:r w:rsidRPr="00993735">
        <w:rPr>
          <w:rFonts w:ascii="Arial" w:hAnsi="Arial" w:cs="Arial"/>
          <w:sz w:val="28"/>
          <w:szCs w:val="20"/>
        </w:rPr>
        <w:t>values</w:t>
      </w:r>
      <w:proofErr w:type="spellEnd"/>
      <w:r w:rsidRPr="00993735">
        <w:rPr>
          <w:rFonts w:ascii="Arial" w:hAnsi="Arial" w:cs="Arial"/>
          <w:sz w:val="28"/>
          <w:szCs w:val="20"/>
        </w:rPr>
        <w:t xml:space="preserve">, για να υπολογίσει τη διαδοχή των ταμειακών ροών. Βεβαιωθείτε ότι τα ποσά πληρωμών και εισπράξεων είναι καταχωρημένα με τη σειρά που θέλετε. </w:t>
      </w:r>
    </w:p>
    <w:p w:rsidR="00993735" w:rsidRPr="00993735" w:rsidRDefault="00993735" w:rsidP="00993735">
      <w:pPr>
        <w:pStyle w:val="Default"/>
        <w:numPr>
          <w:ilvl w:val="0"/>
          <w:numId w:val="6"/>
        </w:numPr>
        <w:jc w:val="both"/>
        <w:rPr>
          <w:rFonts w:ascii="Arial" w:hAnsi="Arial" w:cs="Arial"/>
          <w:sz w:val="28"/>
          <w:szCs w:val="20"/>
        </w:rPr>
      </w:pPr>
      <w:r w:rsidRPr="00993735">
        <w:rPr>
          <w:rFonts w:ascii="Arial" w:hAnsi="Arial" w:cs="Arial"/>
          <w:sz w:val="28"/>
          <w:szCs w:val="20"/>
        </w:rPr>
        <w:t xml:space="preserve">Εάν ένα όρισμα πίνακα ή αναφοράς περιέχει κείμενο, λογικές τιμές ή κενά κελιά, οι τιμές αυτές παραβλέπονται. </w:t>
      </w:r>
    </w:p>
    <w:p w:rsidR="00993735" w:rsidRPr="00993735" w:rsidRDefault="00993735" w:rsidP="00993735">
      <w:pPr>
        <w:pStyle w:val="Default"/>
        <w:jc w:val="both"/>
        <w:rPr>
          <w:rFonts w:ascii="Arial" w:hAnsi="Arial" w:cs="Arial"/>
          <w:sz w:val="28"/>
          <w:szCs w:val="20"/>
        </w:rPr>
      </w:pPr>
    </w:p>
    <w:p w:rsidR="00993735" w:rsidRPr="00993735" w:rsidRDefault="00993735" w:rsidP="00993735">
      <w:pPr>
        <w:pStyle w:val="Default"/>
        <w:jc w:val="both"/>
        <w:rPr>
          <w:rFonts w:ascii="Arial" w:hAnsi="Arial" w:cs="Arial"/>
          <w:sz w:val="28"/>
          <w:szCs w:val="20"/>
        </w:rPr>
      </w:pPr>
      <w:proofErr w:type="spellStart"/>
      <w:r w:rsidRPr="00993735">
        <w:rPr>
          <w:rFonts w:ascii="Arial" w:hAnsi="Arial" w:cs="Arial"/>
          <w:b/>
          <w:bCs/>
          <w:sz w:val="28"/>
          <w:szCs w:val="20"/>
        </w:rPr>
        <w:t>Guess</w:t>
      </w:r>
      <w:proofErr w:type="spellEnd"/>
      <w:r w:rsidRPr="00993735">
        <w:rPr>
          <w:rFonts w:ascii="Arial" w:hAnsi="Arial" w:cs="Arial"/>
          <w:b/>
          <w:bCs/>
          <w:sz w:val="28"/>
          <w:szCs w:val="20"/>
        </w:rPr>
        <w:t xml:space="preserve"> </w:t>
      </w:r>
      <w:r w:rsidRPr="00993735">
        <w:rPr>
          <w:rFonts w:ascii="Arial" w:hAnsi="Arial" w:cs="Arial"/>
          <w:sz w:val="28"/>
          <w:szCs w:val="20"/>
        </w:rPr>
        <w:t xml:space="preserve">είναι μια πρόβλεψη που κάνετε για το αποτέλεσμα της συνάρτησης IRR. </w:t>
      </w:r>
    </w:p>
    <w:p w:rsidR="00993735" w:rsidRPr="00993735" w:rsidRDefault="00993735" w:rsidP="00993735">
      <w:pPr>
        <w:pStyle w:val="Default"/>
        <w:numPr>
          <w:ilvl w:val="0"/>
          <w:numId w:val="7"/>
        </w:numPr>
        <w:spacing w:after="49"/>
        <w:jc w:val="both"/>
        <w:rPr>
          <w:rFonts w:ascii="Arial" w:hAnsi="Arial" w:cs="Arial"/>
          <w:sz w:val="28"/>
          <w:szCs w:val="20"/>
        </w:rPr>
      </w:pPr>
      <w:r w:rsidRPr="00993735">
        <w:rPr>
          <w:rFonts w:ascii="Arial" w:hAnsi="Arial" w:cs="Arial"/>
          <w:sz w:val="28"/>
          <w:szCs w:val="20"/>
        </w:rPr>
        <w:t xml:space="preserve">Το Microsoft Excel χρησιμοποιεί επαναληπτική μέθοδο, για τον υπολογισμό του συντελεστή εσωτερικής απόδοσης. Αρχίζοντας με την τιμή του ορίσματος </w:t>
      </w:r>
      <w:proofErr w:type="spellStart"/>
      <w:r w:rsidRPr="00993735">
        <w:rPr>
          <w:rFonts w:ascii="Arial" w:hAnsi="Arial" w:cs="Arial"/>
          <w:sz w:val="28"/>
          <w:szCs w:val="20"/>
        </w:rPr>
        <w:t>guess</w:t>
      </w:r>
      <w:proofErr w:type="spellEnd"/>
      <w:r w:rsidRPr="00993735">
        <w:rPr>
          <w:rFonts w:ascii="Arial" w:hAnsi="Arial" w:cs="Arial"/>
          <w:sz w:val="28"/>
          <w:szCs w:val="20"/>
        </w:rPr>
        <w:t xml:space="preserve">, η συνάρτηση IRR εκτελεί επαναληπτικούς υπολογισμούς, μέχρι το αποτέλεσμα να συγκλίνει με ακρίβεια της τάξης του 0,00001. Εάν η συνάρτηση IRR δεν μπορεί να συγκλίνει σε αποτέλεσμα μετά από 20 επαναλήψεις, αποδίδει την τιμή σφάλματος #NUM!. </w:t>
      </w:r>
    </w:p>
    <w:p w:rsidR="00993735" w:rsidRPr="00E66E0B" w:rsidRDefault="00993735" w:rsidP="00993735">
      <w:pPr>
        <w:pStyle w:val="Default"/>
        <w:numPr>
          <w:ilvl w:val="0"/>
          <w:numId w:val="7"/>
        </w:numPr>
        <w:spacing w:after="49"/>
        <w:jc w:val="both"/>
        <w:rPr>
          <w:rFonts w:ascii="Arial" w:hAnsi="Arial" w:cs="Arial"/>
          <w:b/>
          <w:sz w:val="28"/>
          <w:szCs w:val="20"/>
        </w:rPr>
      </w:pPr>
      <w:r w:rsidRPr="00E66E0B">
        <w:rPr>
          <w:rFonts w:ascii="Arial" w:hAnsi="Arial" w:cs="Arial"/>
          <w:b/>
          <w:sz w:val="28"/>
          <w:szCs w:val="20"/>
        </w:rPr>
        <w:t xml:space="preserve">Στις περισσότερες περιπτώσεις, δεν χρειάζεται να συμπεριλάβετε το όρισμα </w:t>
      </w:r>
      <w:proofErr w:type="spellStart"/>
      <w:r w:rsidRPr="00E66E0B">
        <w:rPr>
          <w:rFonts w:ascii="Arial" w:hAnsi="Arial" w:cs="Arial"/>
          <w:b/>
          <w:sz w:val="28"/>
          <w:szCs w:val="20"/>
        </w:rPr>
        <w:t>guess</w:t>
      </w:r>
      <w:proofErr w:type="spellEnd"/>
      <w:r w:rsidRPr="00E66E0B">
        <w:rPr>
          <w:rFonts w:ascii="Arial" w:hAnsi="Arial" w:cs="Arial"/>
          <w:b/>
          <w:sz w:val="28"/>
          <w:szCs w:val="20"/>
        </w:rPr>
        <w:t xml:space="preserve"> για τον υπολογισμό της συνάρτησης IRR. Εάν παραλειφθεί το όρισμα </w:t>
      </w:r>
      <w:proofErr w:type="spellStart"/>
      <w:r w:rsidRPr="00E66E0B">
        <w:rPr>
          <w:rFonts w:ascii="Arial" w:hAnsi="Arial" w:cs="Arial"/>
          <w:b/>
          <w:sz w:val="28"/>
          <w:szCs w:val="20"/>
        </w:rPr>
        <w:t>guess</w:t>
      </w:r>
      <w:proofErr w:type="spellEnd"/>
      <w:r w:rsidRPr="00E66E0B">
        <w:rPr>
          <w:rFonts w:ascii="Arial" w:hAnsi="Arial" w:cs="Arial"/>
          <w:b/>
          <w:sz w:val="28"/>
          <w:szCs w:val="20"/>
        </w:rPr>
        <w:t>, θεωρείται ίσο με 0,1 (10 τοις εκατό).</w:t>
      </w:r>
    </w:p>
    <w:p w:rsidR="00993735" w:rsidRPr="00993735" w:rsidRDefault="00993735" w:rsidP="00993735">
      <w:pPr>
        <w:pStyle w:val="Default"/>
        <w:numPr>
          <w:ilvl w:val="0"/>
          <w:numId w:val="7"/>
        </w:numPr>
        <w:spacing w:after="49"/>
        <w:jc w:val="both"/>
        <w:rPr>
          <w:rFonts w:ascii="Arial" w:hAnsi="Arial" w:cs="Arial"/>
          <w:sz w:val="28"/>
          <w:szCs w:val="20"/>
        </w:rPr>
      </w:pPr>
      <w:r w:rsidRPr="00993735">
        <w:rPr>
          <w:rFonts w:ascii="Arial" w:hAnsi="Arial" w:cs="Arial"/>
          <w:sz w:val="28"/>
          <w:szCs w:val="20"/>
        </w:rPr>
        <w:t xml:space="preserve">Εάν η συνάρτηση IRR αποδίδει την τιμή σφάλματος #NUM! ή αν το αποτέλεσμα δεν είναι το αναμενόμενο, ξαναδοκιμάστε αλλάζοντας την τιμή του ορίσματος </w:t>
      </w:r>
      <w:proofErr w:type="spellStart"/>
      <w:r w:rsidRPr="00993735">
        <w:rPr>
          <w:rFonts w:ascii="Arial" w:hAnsi="Arial" w:cs="Arial"/>
          <w:sz w:val="28"/>
          <w:szCs w:val="20"/>
        </w:rPr>
        <w:t>guess</w:t>
      </w:r>
      <w:proofErr w:type="spellEnd"/>
    </w:p>
    <w:p w:rsidR="00993735" w:rsidRPr="00993735" w:rsidRDefault="00993735" w:rsidP="00993735">
      <w:pPr>
        <w:pStyle w:val="Default"/>
        <w:spacing w:after="49"/>
        <w:jc w:val="both"/>
        <w:rPr>
          <w:rFonts w:ascii="Arial" w:hAnsi="Arial" w:cs="Arial"/>
          <w:sz w:val="28"/>
          <w:szCs w:val="20"/>
        </w:rPr>
      </w:pPr>
    </w:p>
    <w:p w:rsidR="00993735" w:rsidRPr="00993735" w:rsidRDefault="00993735" w:rsidP="00993735">
      <w:pPr>
        <w:pStyle w:val="Default"/>
        <w:jc w:val="both"/>
        <w:rPr>
          <w:rFonts w:ascii="Arial" w:hAnsi="Arial" w:cs="Arial"/>
          <w:sz w:val="28"/>
          <w:szCs w:val="20"/>
        </w:rPr>
      </w:pPr>
    </w:p>
    <w:p w:rsidR="00993735" w:rsidRPr="00993735" w:rsidRDefault="00993735" w:rsidP="00993735">
      <w:pPr>
        <w:pStyle w:val="Default"/>
        <w:jc w:val="both"/>
        <w:rPr>
          <w:rFonts w:ascii="Arial" w:hAnsi="Arial" w:cs="Arial"/>
          <w:sz w:val="28"/>
          <w:szCs w:val="20"/>
        </w:rPr>
      </w:pPr>
    </w:p>
    <w:p w:rsidR="00993735" w:rsidRPr="00993735" w:rsidRDefault="00993735" w:rsidP="00993735">
      <w:pPr>
        <w:pStyle w:val="Default"/>
        <w:jc w:val="both"/>
        <w:rPr>
          <w:rFonts w:ascii="Arial" w:hAnsi="Arial" w:cs="Arial"/>
          <w:sz w:val="28"/>
          <w:szCs w:val="20"/>
        </w:rPr>
      </w:pPr>
      <w:r w:rsidRPr="00993735">
        <w:rPr>
          <w:rFonts w:ascii="Arial" w:hAnsi="Arial" w:cs="Arial"/>
          <w:b/>
          <w:bCs/>
          <w:sz w:val="28"/>
          <w:szCs w:val="20"/>
        </w:rPr>
        <w:t xml:space="preserve">Παρατηρήσεις </w:t>
      </w:r>
    </w:p>
    <w:p w:rsidR="00993735" w:rsidRPr="00E66E0B" w:rsidRDefault="00993735" w:rsidP="00A02E57">
      <w:pPr>
        <w:pStyle w:val="Default"/>
        <w:jc w:val="both"/>
        <w:rPr>
          <w:rFonts w:ascii="Arial" w:hAnsi="Arial" w:cs="Arial"/>
          <w:b/>
          <w:sz w:val="28"/>
          <w:szCs w:val="20"/>
        </w:rPr>
      </w:pPr>
      <w:r w:rsidRPr="00E66E0B">
        <w:rPr>
          <w:rFonts w:ascii="Arial" w:hAnsi="Arial" w:cs="Arial"/>
          <w:b/>
          <w:sz w:val="28"/>
          <w:szCs w:val="20"/>
        </w:rPr>
        <w:t>Η συνάρτηση IRR σχετίζεται με τη συνάρτηση NPV (καθαρής παρούσας αξίας</w:t>
      </w:r>
      <w:bookmarkStart w:id="0" w:name="_GoBack"/>
      <w:r w:rsidRPr="00E66E0B">
        <w:rPr>
          <w:rFonts w:ascii="Arial" w:hAnsi="Arial" w:cs="Arial"/>
          <w:b/>
          <w:sz w:val="28"/>
          <w:szCs w:val="20"/>
        </w:rPr>
        <w:t xml:space="preserve">). Ο συντελεστής εσωτερικής απόδοσης που υπολογίζεται από τη συνάρτηση IRR είναι ο συντελεστής, για τον οποίο μηδενίζεται η καθαρή παρούσα αξία. </w:t>
      </w:r>
      <w:bookmarkEnd w:id="0"/>
    </w:p>
    <w:p w:rsidR="00A02E57" w:rsidRPr="00993735" w:rsidRDefault="00A02E57" w:rsidP="00A02E57">
      <w:pPr>
        <w:pStyle w:val="Default"/>
        <w:jc w:val="both"/>
        <w:rPr>
          <w:rFonts w:ascii="Arial" w:hAnsi="Arial" w:cs="Arial"/>
          <w:sz w:val="28"/>
          <w:szCs w:val="20"/>
        </w:rPr>
      </w:pPr>
    </w:p>
    <w:p w:rsidR="00993735" w:rsidRPr="00993735" w:rsidRDefault="00993735" w:rsidP="00993735">
      <w:pPr>
        <w:pStyle w:val="Default"/>
        <w:jc w:val="both"/>
        <w:rPr>
          <w:rFonts w:ascii="Arial" w:hAnsi="Arial" w:cs="Arial"/>
          <w:sz w:val="28"/>
          <w:szCs w:val="20"/>
        </w:rPr>
      </w:pPr>
      <w:r w:rsidRPr="00993735">
        <w:rPr>
          <w:rFonts w:ascii="Arial" w:hAnsi="Arial" w:cs="Arial"/>
          <w:b/>
          <w:bCs/>
          <w:sz w:val="28"/>
          <w:szCs w:val="20"/>
        </w:rPr>
        <w:t xml:space="preserve">Παράδειγμα </w:t>
      </w:r>
    </w:p>
    <w:p w:rsidR="00993735" w:rsidRPr="00993735" w:rsidRDefault="00993735" w:rsidP="00993735">
      <w:pPr>
        <w:jc w:val="both"/>
        <w:rPr>
          <w:rFonts w:ascii="Arial" w:hAnsi="Arial" w:cs="Arial"/>
          <w:sz w:val="32"/>
        </w:rPr>
      </w:pPr>
    </w:p>
    <w:p w:rsidR="00993735" w:rsidRPr="00993735" w:rsidRDefault="00993735" w:rsidP="00993735">
      <w:pPr>
        <w:pStyle w:val="Default"/>
        <w:jc w:val="both"/>
        <w:rPr>
          <w:rFonts w:ascii="Arial" w:hAnsi="Arial" w:cs="Arial"/>
          <w:sz w:val="28"/>
          <w:szCs w:val="20"/>
        </w:rPr>
      </w:pPr>
      <w:r w:rsidRPr="00993735">
        <w:rPr>
          <w:rFonts w:ascii="Arial" w:hAnsi="Arial" w:cs="Arial"/>
          <w:sz w:val="28"/>
          <w:szCs w:val="20"/>
        </w:rPr>
        <w:t xml:space="preserve">Το παράδειγμα θα είναι πιο κατανοητό, αν το αντιγράψετε σε ένα κενό φύλλο εργασίας. </w:t>
      </w:r>
    </w:p>
    <w:p w:rsidR="00993735" w:rsidRPr="00993735" w:rsidRDefault="00993735" w:rsidP="00993735">
      <w:pPr>
        <w:pStyle w:val="Default"/>
        <w:numPr>
          <w:ilvl w:val="0"/>
          <w:numId w:val="5"/>
        </w:numPr>
        <w:spacing w:after="48"/>
        <w:jc w:val="both"/>
        <w:rPr>
          <w:rFonts w:ascii="Arial" w:hAnsi="Arial" w:cs="Arial"/>
          <w:sz w:val="28"/>
          <w:szCs w:val="20"/>
        </w:rPr>
      </w:pPr>
      <w:r w:rsidRPr="00993735">
        <w:rPr>
          <w:rFonts w:ascii="Arial" w:hAnsi="Arial" w:cs="Arial"/>
          <w:sz w:val="28"/>
          <w:szCs w:val="20"/>
        </w:rPr>
        <w:t xml:space="preserve">Δημιουργήστε ένα κενό βιβλίο ή φύλλο εργασίας. </w:t>
      </w:r>
    </w:p>
    <w:p w:rsidR="00993735" w:rsidRPr="00993735" w:rsidRDefault="00993735" w:rsidP="00993735">
      <w:pPr>
        <w:pStyle w:val="Default"/>
        <w:numPr>
          <w:ilvl w:val="0"/>
          <w:numId w:val="5"/>
        </w:numPr>
        <w:jc w:val="both"/>
        <w:rPr>
          <w:rFonts w:ascii="Arial" w:hAnsi="Arial" w:cs="Arial"/>
          <w:sz w:val="28"/>
          <w:szCs w:val="20"/>
        </w:rPr>
      </w:pPr>
      <w:r w:rsidRPr="00993735">
        <w:rPr>
          <w:rFonts w:ascii="Arial" w:hAnsi="Arial" w:cs="Arial"/>
          <w:sz w:val="28"/>
          <w:szCs w:val="20"/>
        </w:rPr>
        <w:t xml:space="preserve">Επιλέξτε το παράδειγμα στο θέμα της Βοήθειας. </w:t>
      </w:r>
    </w:p>
    <w:p w:rsidR="00993735" w:rsidRPr="00993735" w:rsidRDefault="00993735" w:rsidP="00993735">
      <w:pPr>
        <w:pStyle w:val="Default"/>
        <w:numPr>
          <w:ilvl w:val="0"/>
          <w:numId w:val="5"/>
        </w:numPr>
        <w:jc w:val="both"/>
        <w:rPr>
          <w:rFonts w:ascii="Arial" w:hAnsi="Arial" w:cs="Arial"/>
          <w:sz w:val="28"/>
          <w:szCs w:val="20"/>
        </w:rPr>
      </w:pPr>
      <w:r w:rsidRPr="00993735">
        <w:rPr>
          <w:rFonts w:ascii="Arial" w:hAnsi="Arial" w:cs="Arial"/>
          <w:sz w:val="28"/>
          <w:szCs w:val="20"/>
        </w:rPr>
        <w:t>Πατήστε CTRL+C.</w:t>
      </w:r>
    </w:p>
    <w:p w:rsidR="00993735" w:rsidRPr="00993735" w:rsidRDefault="00993735" w:rsidP="00993735">
      <w:pPr>
        <w:pStyle w:val="Default"/>
        <w:numPr>
          <w:ilvl w:val="0"/>
          <w:numId w:val="5"/>
        </w:numPr>
        <w:jc w:val="both"/>
        <w:rPr>
          <w:rFonts w:ascii="Arial" w:hAnsi="Arial" w:cs="Arial"/>
          <w:sz w:val="28"/>
          <w:szCs w:val="20"/>
        </w:rPr>
      </w:pPr>
      <w:r w:rsidRPr="00993735">
        <w:rPr>
          <w:rFonts w:ascii="Arial" w:hAnsi="Arial" w:cs="Arial"/>
          <w:sz w:val="28"/>
          <w:szCs w:val="20"/>
        </w:rPr>
        <w:t>Στο φύλλο εργασίας, επιλέξτε το κελί A1 και πατήστε CTRL+V.</w:t>
      </w:r>
    </w:p>
    <w:p w:rsidR="00993735" w:rsidRPr="00993735" w:rsidRDefault="00993735" w:rsidP="00993735">
      <w:pPr>
        <w:pStyle w:val="Default"/>
        <w:numPr>
          <w:ilvl w:val="0"/>
          <w:numId w:val="5"/>
        </w:numPr>
        <w:jc w:val="both"/>
        <w:rPr>
          <w:rFonts w:ascii="Arial" w:hAnsi="Arial" w:cs="Arial"/>
          <w:sz w:val="28"/>
          <w:szCs w:val="20"/>
        </w:rPr>
      </w:pPr>
      <w:r w:rsidRPr="00993735">
        <w:rPr>
          <w:rFonts w:ascii="Arial" w:hAnsi="Arial" w:cs="Arial"/>
          <w:sz w:val="28"/>
          <w:szCs w:val="20"/>
        </w:rPr>
        <w:t xml:space="preserve">Για εναλλαγή μεταξύ της προβολής των αποτελεσμάτων και της προβολής των τύπων από τους οποίους προέκυψαν τα αποτελέσματα, πιέστε το συνδυασμό πλήκτρων CTRL+` (βαρεία) ή στην καρτέλα </w:t>
      </w:r>
      <w:r w:rsidRPr="00993735">
        <w:rPr>
          <w:rFonts w:ascii="Arial" w:hAnsi="Arial" w:cs="Arial"/>
          <w:b/>
          <w:bCs/>
          <w:sz w:val="28"/>
          <w:szCs w:val="20"/>
        </w:rPr>
        <w:t>Τύποι</w:t>
      </w:r>
      <w:r w:rsidRPr="00993735">
        <w:rPr>
          <w:rFonts w:ascii="Arial" w:hAnsi="Arial" w:cs="Arial"/>
          <w:sz w:val="28"/>
          <w:szCs w:val="20"/>
        </w:rPr>
        <w:t xml:space="preserve">, στην ομάδα </w:t>
      </w:r>
      <w:r w:rsidRPr="00993735">
        <w:rPr>
          <w:rFonts w:ascii="Arial" w:hAnsi="Arial" w:cs="Arial"/>
          <w:b/>
          <w:bCs/>
          <w:sz w:val="28"/>
          <w:szCs w:val="20"/>
        </w:rPr>
        <w:t>Έλεγχος τύπου</w:t>
      </w:r>
      <w:r w:rsidRPr="00993735">
        <w:rPr>
          <w:rFonts w:ascii="Arial" w:hAnsi="Arial" w:cs="Arial"/>
          <w:sz w:val="28"/>
          <w:szCs w:val="20"/>
        </w:rPr>
        <w:t xml:space="preserve">, κάντε κλικ στο κουμπί </w:t>
      </w:r>
      <w:r w:rsidRPr="00993735">
        <w:rPr>
          <w:rFonts w:ascii="Arial" w:hAnsi="Arial" w:cs="Arial"/>
          <w:b/>
          <w:bCs/>
          <w:sz w:val="28"/>
          <w:szCs w:val="20"/>
        </w:rPr>
        <w:t>Εμφάνιση τύπων</w:t>
      </w:r>
      <w:r w:rsidRPr="00993735">
        <w:rPr>
          <w:rFonts w:ascii="Arial" w:hAnsi="Arial" w:cs="Arial"/>
          <w:sz w:val="28"/>
          <w:szCs w:val="20"/>
        </w:rPr>
        <w:t>.</w:t>
      </w:r>
    </w:p>
    <w:p w:rsidR="00993735" w:rsidRDefault="00993735" w:rsidP="00993735">
      <w:pPr>
        <w:jc w:val="both"/>
        <w:rPr>
          <w:rFonts w:ascii="Arial" w:hAnsi="Arial" w:cs="Arial"/>
          <w:sz w:val="32"/>
        </w:rPr>
      </w:pPr>
    </w:p>
    <w:p w:rsidR="00A02E57" w:rsidRDefault="00A02E57" w:rsidP="00993735">
      <w:pPr>
        <w:jc w:val="both"/>
        <w:rPr>
          <w:rFonts w:ascii="Arial" w:hAnsi="Arial" w:cs="Arial"/>
          <w:sz w:val="32"/>
        </w:rPr>
      </w:pPr>
    </w:p>
    <w:tbl>
      <w:tblPr>
        <w:tblStyle w:val="a3"/>
        <w:tblW w:w="0" w:type="auto"/>
        <w:tblLook w:val="04A0" w:firstRow="1" w:lastRow="0" w:firstColumn="1" w:lastColumn="0" w:noHBand="0" w:noVBand="1"/>
      </w:tblPr>
      <w:tblGrid>
        <w:gridCol w:w="1311"/>
        <w:gridCol w:w="1586"/>
        <w:gridCol w:w="2351"/>
      </w:tblGrid>
      <w:tr w:rsidR="00A02E57" w:rsidRPr="006E731A" w:rsidTr="00A02E57">
        <w:trPr>
          <w:trHeight w:val="557"/>
        </w:trPr>
        <w:tc>
          <w:tcPr>
            <w:tcW w:w="1311" w:type="dxa"/>
          </w:tcPr>
          <w:p w:rsidR="00A02E57" w:rsidRPr="007D4031" w:rsidRDefault="00A02E57" w:rsidP="00A02E57">
            <w:pPr>
              <w:jc w:val="center"/>
              <w:rPr>
                <w:rFonts w:ascii="Arial" w:hAnsi="Arial" w:cs="Arial"/>
                <w:b/>
                <w:bCs/>
                <w:sz w:val="28"/>
              </w:rPr>
            </w:pPr>
            <w:r w:rsidRPr="007D4031">
              <w:rPr>
                <w:rFonts w:ascii="Arial" w:hAnsi="Arial" w:cs="Arial"/>
                <w:sz w:val="28"/>
                <w:lang w:val="en-US"/>
              </w:rPr>
              <w:t>1</w:t>
            </w:r>
          </w:p>
        </w:tc>
        <w:tc>
          <w:tcPr>
            <w:tcW w:w="1586" w:type="dxa"/>
            <w:vAlign w:val="center"/>
            <w:hideMark/>
          </w:tcPr>
          <w:p w:rsidR="00A02E57" w:rsidRPr="007D4031" w:rsidRDefault="00A02E57" w:rsidP="00C2023B">
            <w:pPr>
              <w:jc w:val="center"/>
              <w:rPr>
                <w:rFonts w:ascii="Arial" w:hAnsi="Arial" w:cs="Arial"/>
                <w:b/>
                <w:bCs/>
                <w:sz w:val="28"/>
              </w:rPr>
            </w:pPr>
            <w:r w:rsidRPr="007D4031">
              <w:rPr>
                <w:rFonts w:ascii="Arial" w:hAnsi="Arial" w:cs="Arial"/>
                <w:b/>
                <w:bCs/>
                <w:sz w:val="28"/>
              </w:rPr>
              <w:t>Δεδομένα</w:t>
            </w:r>
          </w:p>
        </w:tc>
        <w:tc>
          <w:tcPr>
            <w:tcW w:w="2351" w:type="dxa"/>
            <w:vAlign w:val="center"/>
            <w:hideMark/>
          </w:tcPr>
          <w:p w:rsidR="00A02E57" w:rsidRPr="007D4031" w:rsidRDefault="00A02E57" w:rsidP="00C2023B">
            <w:pPr>
              <w:jc w:val="center"/>
              <w:rPr>
                <w:rFonts w:ascii="Arial" w:hAnsi="Arial" w:cs="Arial"/>
                <w:b/>
                <w:bCs/>
                <w:sz w:val="28"/>
              </w:rPr>
            </w:pPr>
            <w:r w:rsidRPr="007D4031">
              <w:rPr>
                <w:rFonts w:ascii="Arial" w:hAnsi="Arial" w:cs="Arial"/>
                <w:b/>
                <w:bCs/>
                <w:sz w:val="28"/>
              </w:rPr>
              <w:t>Περιγραφή</w:t>
            </w:r>
          </w:p>
        </w:tc>
      </w:tr>
      <w:tr w:rsidR="00A02E57" w:rsidRPr="006E731A" w:rsidTr="00A02E57">
        <w:trPr>
          <w:trHeight w:val="717"/>
        </w:trPr>
        <w:tc>
          <w:tcPr>
            <w:tcW w:w="1311" w:type="dxa"/>
          </w:tcPr>
          <w:p w:rsidR="00A02E57" w:rsidRPr="007D4031" w:rsidRDefault="00A02E57" w:rsidP="00A02E57">
            <w:pPr>
              <w:jc w:val="center"/>
              <w:rPr>
                <w:rFonts w:ascii="Arial" w:hAnsi="Arial" w:cs="Arial"/>
                <w:sz w:val="28"/>
                <w:lang w:val="en-US"/>
              </w:rPr>
            </w:pPr>
            <w:r w:rsidRPr="007D4031">
              <w:rPr>
                <w:rFonts w:ascii="Arial" w:hAnsi="Arial" w:cs="Arial"/>
                <w:sz w:val="28"/>
                <w:lang w:val="en-US"/>
              </w:rPr>
              <w:t>2</w:t>
            </w:r>
          </w:p>
        </w:tc>
        <w:tc>
          <w:tcPr>
            <w:tcW w:w="1586" w:type="dxa"/>
            <w:hideMark/>
          </w:tcPr>
          <w:p w:rsidR="00A02E57" w:rsidRPr="007D4031" w:rsidRDefault="00A02E57" w:rsidP="00A02E57">
            <w:pPr>
              <w:rPr>
                <w:rFonts w:ascii="Arial" w:hAnsi="Arial" w:cs="Arial"/>
                <w:sz w:val="28"/>
                <w:lang w:val="en-US"/>
              </w:rPr>
            </w:pPr>
            <w:r w:rsidRPr="007D4031">
              <w:rPr>
                <w:rFonts w:ascii="Arial" w:hAnsi="Arial" w:cs="Arial"/>
                <w:sz w:val="28"/>
                <w:lang w:val="en-US"/>
              </w:rPr>
              <w:t>-70.000</w:t>
            </w:r>
          </w:p>
        </w:tc>
        <w:tc>
          <w:tcPr>
            <w:tcW w:w="2351" w:type="dxa"/>
            <w:hideMark/>
          </w:tcPr>
          <w:p w:rsidR="00A02E57" w:rsidRPr="007D4031" w:rsidRDefault="00A02E57" w:rsidP="00A02E57">
            <w:pPr>
              <w:rPr>
                <w:rFonts w:ascii="Arial" w:hAnsi="Arial" w:cs="Arial"/>
                <w:sz w:val="28"/>
              </w:rPr>
            </w:pPr>
            <w:r w:rsidRPr="007D4031">
              <w:rPr>
                <w:rFonts w:ascii="Arial" w:hAnsi="Arial" w:cs="Arial"/>
                <w:sz w:val="28"/>
              </w:rPr>
              <w:t>Αρχικό κόστος της επένδυσης</w:t>
            </w:r>
          </w:p>
        </w:tc>
      </w:tr>
      <w:tr w:rsidR="00A02E57" w:rsidRPr="006E731A" w:rsidTr="00A02E57">
        <w:trPr>
          <w:trHeight w:val="633"/>
        </w:trPr>
        <w:tc>
          <w:tcPr>
            <w:tcW w:w="1311" w:type="dxa"/>
          </w:tcPr>
          <w:p w:rsidR="00A02E57" w:rsidRPr="006E731A" w:rsidRDefault="00A02E57" w:rsidP="00A02E57">
            <w:pPr>
              <w:jc w:val="center"/>
              <w:rPr>
                <w:rFonts w:ascii="Arial" w:hAnsi="Arial" w:cs="Arial"/>
                <w:sz w:val="24"/>
                <w:lang w:val="en-US"/>
              </w:rPr>
            </w:pPr>
            <w:r w:rsidRPr="006E731A">
              <w:rPr>
                <w:rFonts w:ascii="Arial" w:hAnsi="Arial" w:cs="Arial"/>
                <w:sz w:val="24"/>
                <w:lang w:val="en-US"/>
              </w:rPr>
              <w:t>3</w:t>
            </w:r>
          </w:p>
        </w:tc>
        <w:tc>
          <w:tcPr>
            <w:tcW w:w="1586" w:type="dxa"/>
            <w:hideMark/>
          </w:tcPr>
          <w:p w:rsidR="00A02E57" w:rsidRPr="006E731A" w:rsidRDefault="00A02E57" w:rsidP="00A02E57">
            <w:pPr>
              <w:rPr>
                <w:rFonts w:ascii="Arial" w:hAnsi="Arial" w:cs="Arial"/>
                <w:sz w:val="24"/>
                <w:lang w:val="en-US"/>
              </w:rPr>
            </w:pPr>
            <w:r w:rsidRPr="006E731A">
              <w:rPr>
                <w:rFonts w:ascii="Arial" w:hAnsi="Arial" w:cs="Arial"/>
                <w:sz w:val="24"/>
                <w:lang w:val="en-US"/>
              </w:rPr>
              <w:t>12.000</w:t>
            </w:r>
          </w:p>
        </w:tc>
        <w:tc>
          <w:tcPr>
            <w:tcW w:w="2351" w:type="dxa"/>
            <w:hideMark/>
          </w:tcPr>
          <w:p w:rsidR="00A02E57" w:rsidRPr="006E731A" w:rsidRDefault="00A02E57" w:rsidP="00A02E57">
            <w:pPr>
              <w:rPr>
                <w:rFonts w:ascii="Arial" w:hAnsi="Arial" w:cs="Arial"/>
                <w:sz w:val="24"/>
              </w:rPr>
            </w:pPr>
            <w:r w:rsidRPr="006E731A">
              <w:rPr>
                <w:rFonts w:ascii="Arial" w:hAnsi="Arial" w:cs="Arial"/>
                <w:sz w:val="24"/>
              </w:rPr>
              <w:t>Καθαρή απόδοση κατά το πρώτο έτος</w:t>
            </w:r>
          </w:p>
        </w:tc>
      </w:tr>
      <w:tr w:rsidR="00A02E57" w:rsidRPr="006E731A" w:rsidTr="00A02E57">
        <w:trPr>
          <w:trHeight w:val="556"/>
        </w:trPr>
        <w:tc>
          <w:tcPr>
            <w:tcW w:w="1311" w:type="dxa"/>
          </w:tcPr>
          <w:p w:rsidR="00A02E57" w:rsidRPr="006E731A" w:rsidRDefault="00A02E57" w:rsidP="00A02E57">
            <w:pPr>
              <w:jc w:val="center"/>
              <w:rPr>
                <w:rFonts w:ascii="Arial" w:hAnsi="Arial" w:cs="Arial"/>
                <w:sz w:val="24"/>
                <w:lang w:val="en-US"/>
              </w:rPr>
            </w:pPr>
            <w:r w:rsidRPr="006E731A">
              <w:rPr>
                <w:rFonts w:ascii="Arial" w:hAnsi="Arial" w:cs="Arial"/>
                <w:sz w:val="24"/>
                <w:lang w:val="en-US"/>
              </w:rPr>
              <w:t>4</w:t>
            </w:r>
          </w:p>
        </w:tc>
        <w:tc>
          <w:tcPr>
            <w:tcW w:w="1586" w:type="dxa"/>
            <w:hideMark/>
          </w:tcPr>
          <w:p w:rsidR="00A02E57" w:rsidRPr="006E731A" w:rsidRDefault="00A02E57" w:rsidP="00A02E57">
            <w:pPr>
              <w:rPr>
                <w:rFonts w:ascii="Arial" w:hAnsi="Arial" w:cs="Arial"/>
                <w:sz w:val="24"/>
                <w:lang w:val="en-US"/>
              </w:rPr>
            </w:pPr>
            <w:r w:rsidRPr="006E731A">
              <w:rPr>
                <w:rFonts w:ascii="Arial" w:hAnsi="Arial" w:cs="Arial"/>
                <w:sz w:val="24"/>
                <w:lang w:val="en-US"/>
              </w:rPr>
              <w:t>15.000</w:t>
            </w:r>
          </w:p>
        </w:tc>
        <w:tc>
          <w:tcPr>
            <w:tcW w:w="2351" w:type="dxa"/>
            <w:hideMark/>
          </w:tcPr>
          <w:p w:rsidR="00A02E57" w:rsidRPr="006E731A" w:rsidRDefault="00A02E57" w:rsidP="00A02E57">
            <w:pPr>
              <w:rPr>
                <w:rFonts w:ascii="Arial" w:hAnsi="Arial" w:cs="Arial"/>
                <w:sz w:val="24"/>
              </w:rPr>
            </w:pPr>
            <w:r w:rsidRPr="006E731A">
              <w:rPr>
                <w:rFonts w:ascii="Arial" w:hAnsi="Arial" w:cs="Arial"/>
                <w:sz w:val="24"/>
              </w:rPr>
              <w:t xml:space="preserve">Καθαρή Απόδοση κατά το δεύτερο έτος </w:t>
            </w:r>
          </w:p>
        </w:tc>
      </w:tr>
      <w:tr w:rsidR="00A02E57" w:rsidRPr="006E731A" w:rsidTr="00A02E57">
        <w:trPr>
          <w:trHeight w:val="550"/>
        </w:trPr>
        <w:tc>
          <w:tcPr>
            <w:tcW w:w="1311" w:type="dxa"/>
          </w:tcPr>
          <w:p w:rsidR="00A02E57" w:rsidRPr="006E731A" w:rsidRDefault="00A02E57" w:rsidP="00A02E57">
            <w:pPr>
              <w:jc w:val="center"/>
              <w:rPr>
                <w:rFonts w:ascii="Arial" w:hAnsi="Arial" w:cs="Arial"/>
                <w:sz w:val="24"/>
                <w:lang w:val="en-US"/>
              </w:rPr>
            </w:pPr>
            <w:r w:rsidRPr="006E731A">
              <w:rPr>
                <w:rFonts w:ascii="Arial" w:hAnsi="Arial" w:cs="Arial"/>
                <w:sz w:val="24"/>
                <w:lang w:val="en-US"/>
              </w:rPr>
              <w:t>5</w:t>
            </w:r>
          </w:p>
        </w:tc>
        <w:tc>
          <w:tcPr>
            <w:tcW w:w="1586" w:type="dxa"/>
            <w:hideMark/>
          </w:tcPr>
          <w:p w:rsidR="00A02E57" w:rsidRPr="006E731A" w:rsidRDefault="00A02E57" w:rsidP="00A02E57">
            <w:pPr>
              <w:rPr>
                <w:rFonts w:ascii="Arial" w:hAnsi="Arial" w:cs="Arial"/>
                <w:sz w:val="24"/>
                <w:lang w:val="en-US"/>
              </w:rPr>
            </w:pPr>
            <w:r w:rsidRPr="006E731A">
              <w:rPr>
                <w:rFonts w:ascii="Arial" w:hAnsi="Arial" w:cs="Arial"/>
                <w:sz w:val="24"/>
                <w:lang w:val="en-US"/>
              </w:rPr>
              <w:t>18.000</w:t>
            </w:r>
          </w:p>
        </w:tc>
        <w:tc>
          <w:tcPr>
            <w:tcW w:w="2351" w:type="dxa"/>
            <w:hideMark/>
          </w:tcPr>
          <w:p w:rsidR="00A02E57" w:rsidRPr="006E731A" w:rsidRDefault="00A02E57" w:rsidP="00A02E57">
            <w:pPr>
              <w:rPr>
                <w:rFonts w:ascii="Arial" w:hAnsi="Arial" w:cs="Arial"/>
                <w:sz w:val="24"/>
              </w:rPr>
            </w:pPr>
            <w:r w:rsidRPr="006E731A">
              <w:rPr>
                <w:rFonts w:ascii="Arial" w:hAnsi="Arial" w:cs="Arial"/>
                <w:sz w:val="24"/>
              </w:rPr>
              <w:t>Καθαρή απόδοση κατά το τρίτο έτος</w:t>
            </w:r>
          </w:p>
        </w:tc>
      </w:tr>
      <w:tr w:rsidR="00A02E57" w:rsidRPr="006E731A" w:rsidTr="00A02E57">
        <w:trPr>
          <w:trHeight w:val="700"/>
        </w:trPr>
        <w:tc>
          <w:tcPr>
            <w:tcW w:w="1311" w:type="dxa"/>
          </w:tcPr>
          <w:p w:rsidR="00A02E57" w:rsidRPr="006E731A" w:rsidRDefault="00A02E57" w:rsidP="00A02E57">
            <w:pPr>
              <w:jc w:val="center"/>
              <w:rPr>
                <w:rFonts w:ascii="Arial" w:hAnsi="Arial" w:cs="Arial"/>
                <w:sz w:val="24"/>
                <w:lang w:val="en-US"/>
              </w:rPr>
            </w:pPr>
            <w:r w:rsidRPr="006E731A">
              <w:rPr>
                <w:rFonts w:ascii="Arial" w:hAnsi="Arial" w:cs="Arial"/>
                <w:sz w:val="24"/>
                <w:lang w:val="en-US"/>
              </w:rPr>
              <w:t>6</w:t>
            </w:r>
          </w:p>
        </w:tc>
        <w:tc>
          <w:tcPr>
            <w:tcW w:w="1586" w:type="dxa"/>
            <w:hideMark/>
          </w:tcPr>
          <w:p w:rsidR="00A02E57" w:rsidRPr="006E731A" w:rsidRDefault="00A02E57" w:rsidP="00A02E57">
            <w:pPr>
              <w:rPr>
                <w:rFonts w:ascii="Arial" w:hAnsi="Arial" w:cs="Arial"/>
                <w:sz w:val="24"/>
                <w:lang w:val="en-US"/>
              </w:rPr>
            </w:pPr>
            <w:r w:rsidRPr="006E731A">
              <w:rPr>
                <w:rFonts w:ascii="Arial" w:hAnsi="Arial" w:cs="Arial"/>
                <w:sz w:val="24"/>
                <w:lang w:val="en-US"/>
              </w:rPr>
              <w:t>21.000</w:t>
            </w:r>
          </w:p>
        </w:tc>
        <w:tc>
          <w:tcPr>
            <w:tcW w:w="2351" w:type="dxa"/>
          </w:tcPr>
          <w:p w:rsidR="00A02E57" w:rsidRPr="006E731A" w:rsidRDefault="00A02E57" w:rsidP="00A02E57">
            <w:pPr>
              <w:rPr>
                <w:rFonts w:ascii="Arial" w:hAnsi="Arial" w:cs="Arial"/>
                <w:sz w:val="24"/>
              </w:rPr>
            </w:pPr>
            <w:r w:rsidRPr="006E731A">
              <w:rPr>
                <w:rFonts w:ascii="Arial" w:hAnsi="Arial" w:cs="Arial"/>
                <w:sz w:val="24"/>
              </w:rPr>
              <w:t>Καθαρή απόδοση κατά το τέταρτο έτος</w:t>
            </w:r>
          </w:p>
        </w:tc>
      </w:tr>
      <w:tr w:rsidR="00A02E57" w:rsidRPr="006E731A" w:rsidTr="00A02E57">
        <w:trPr>
          <w:trHeight w:val="568"/>
        </w:trPr>
        <w:tc>
          <w:tcPr>
            <w:tcW w:w="1311" w:type="dxa"/>
          </w:tcPr>
          <w:p w:rsidR="00A02E57" w:rsidRPr="006E731A" w:rsidRDefault="00A02E57" w:rsidP="00A02E57">
            <w:pPr>
              <w:jc w:val="center"/>
              <w:rPr>
                <w:rFonts w:ascii="Arial" w:hAnsi="Arial" w:cs="Arial"/>
                <w:sz w:val="24"/>
                <w:lang w:val="en-US"/>
              </w:rPr>
            </w:pPr>
            <w:r w:rsidRPr="006E731A">
              <w:rPr>
                <w:rFonts w:ascii="Arial" w:hAnsi="Arial" w:cs="Arial"/>
                <w:sz w:val="24"/>
                <w:lang w:val="en-US"/>
              </w:rPr>
              <w:t>7</w:t>
            </w:r>
          </w:p>
        </w:tc>
        <w:tc>
          <w:tcPr>
            <w:tcW w:w="1586" w:type="dxa"/>
            <w:hideMark/>
          </w:tcPr>
          <w:p w:rsidR="00A02E57" w:rsidRPr="006E731A" w:rsidRDefault="00A02E57" w:rsidP="00A02E57">
            <w:pPr>
              <w:rPr>
                <w:rFonts w:ascii="Arial" w:hAnsi="Arial" w:cs="Arial"/>
                <w:sz w:val="24"/>
                <w:lang w:val="en-US"/>
              </w:rPr>
            </w:pPr>
            <w:r w:rsidRPr="006E731A">
              <w:rPr>
                <w:rFonts w:ascii="Arial" w:hAnsi="Arial" w:cs="Arial"/>
                <w:sz w:val="24"/>
                <w:lang w:val="en-US"/>
              </w:rPr>
              <w:t>26.000</w:t>
            </w:r>
          </w:p>
        </w:tc>
        <w:tc>
          <w:tcPr>
            <w:tcW w:w="2351" w:type="dxa"/>
          </w:tcPr>
          <w:p w:rsidR="00A02E57" w:rsidRPr="006E731A" w:rsidRDefault="00A02E57" w:rsidP="00A02E57">
            <w:pPr>
              <w:rPr>
                <w:rFonts w:ascii="Arial" w:hAnsi="Arial" w:cs="Arial"/>
                <w:sz w:val="24"/>
              </w:rPr>
            </w:pPr>
            <w:r w:rsidRPr="006E731A">
              <w:rPr>
                <w:rFonts w:ascii="Arial" w:hAnsi="Arial" w:cs="Arial"/>
                <w:sz w:val="24"/>
              </w:rPr>
              <w:t>Καθαρή απόδοση κατά το πέμπτο έτος</w:t>
            </w:r>
          </w:p>
        </w:tc>
      </w:tr>
    </w:tbl>
    <w:p w:rsidR="00A02E57" w:rsidRDefault="00A02E57" w:rsidP="00993735">
      <w:pPr>
        <w:jc w:val="both"/>
        <w:rPr>
          <w:rFonts w:ascii="Arial" w:hAnsi="Arial" w:cs="Arial"/>
          <w:sz w:val="32"/>
        </w:rPr>
      </w:pPr>
    </w:p>
    <w:p w:rsidR="006E731A" w:rsidRDefault="006E731A" w:rsidP="00993735">
      <w:pPr>
        <w:jc w:val="both"/>
        <w:rPr>
          <w:rFonts w:ascii="Arial" w:hAnsi="Arial" w:cs="Arial"/>
          <w:sz w:val="32"/>
        </w:rPr>
      </w:pPr>
    </w:p>
    <w:p w:rsidR="006E731A" w:rsidRDefault="006E731A" w:rsidP="00993735">
      <w:pPr>
        <w:jc w:val="both"/>
        <w:rPr>
          <w:rFonts w:ascii="Arial" w:hAnsi="Arial" w:cs="Arial"/>
          <w:sz w:val="32"/>
        </w:rPr>
      </w:pPr>
    </w:p>
    <w:p w:rsidR="006E731A" w:rsidRDefault="006E731A" w:rsidP="00993735">
      <w:pPr>
        <w:jc w:val="both"/>
        <w:rPr>
          <w:rFonts w:ascii="Arial" w:hAnsi="Arial" w:cs="Arial"/>
          <w:sz w:val="32"/>
        </w:rPr>
      </w:pPr>
    </w:p>
    <w:p w:rsidR="00A02E57" w:rsidRDefault="00A02E57" w:rsidP="00993735">
      <w:pPr>
        <w:jc w:val="both"/>
        <w:rPr>
          <w:rFonts w:ascii="Arial" w:hAnsi="Arial" w:cs="Arial"/>
          <w:sz w:val="32"/>
        </w:rPr>
      </w:pPr>
    </w:p>
    <w:tbl>
      <w:tblPr>
        <w:tblStyle w:val="a3"/>
        <w:tblW w:w="0" w:type="auto"/>
        <w:tblLook w:val="04A0" w:firstRow="1" w:lastRow="0" w:firstColumn="1" w:lastColumn="0" w:noHBand="0" w:noVBand="1"/>
      </w:tblPr>
      <w:tblGrid>
        <w:gridCol w:w="2793"/>
        <w:gridCol w:w="3156"/>
        <w:gridCol w:w="2347"/>
      </w:tblGrid>
      <w:tr w:rsidR="00A02E57" w:rsidRPr="00CE6384" w:rsidTr="00C2023B">
        <w:trPr>
          <w:trHeight w:val="557"/>
        </w:trPr>
        <w:tc>
          <w:tcPr>
            <w:tcW w:w="2793" w:type="dxa"/>
            <w:vAlign w:val="center"/>
            <w:hideMark/>
          </w:tcPr>
          <w:p w:rsidR="00A02E57" w:rsidRPr="00CE6384" w:rsidRDefault="00A02E57" w:rsidP="00C2023B">
            <w:pPr>
              <w:jc w:val="center"/>
              <w:rPr>
                <w:b/>
                <w:bCs/>
              </w:rPr>
            </w:pPr>
            <w:proofErr w:type="spellStart"/>
            <w:r>
              <w:rPr>
                <w:b/>
                <w:bCs/>
              </w:rPr>
              <w:t>Τύπ</w:t>
            </w:r>
            <w:proofErr w:type="spellEnd"/>
            <w:r>
              <w:rPr>
                <w:b/>
                <w:bCs/>
                <w:lang w:val="en-US"/>
              </w:rPr>
              <w:t>o</w:t>
            </w:r>
            <w:r>
              <w:rPr>
                <w:b/>
                <w:bCs/>
              </w:rPr>
              <w:t>ς</w:t>
            </w:r>
          </w:p>
        </w:tc>
        <w:tc>
          <w:tcPr>
            <w:tcW w:w="3156" w:type="dxa"/>
            <w:vAlign w:val="center"/>
            <w:hideMark/>
          </w:tcPr>
          <w:p w:rsidR="00A02E57" w:rsidRPr="00CE6384" w:rsidRDefault="00A02E57" w:rsidP="00C2023B">
            <w:pPr>
              <w:jc w:val="center"/>
              <w:rPr>
                <w:b/>
                <w:bCs/>
              </w:rPr>
            </w:pPr>
            <w:r w:rsidRPr="00CE6384">
              <w:rPr>
                <w:b/>
                <w:bCs/>
              </w:rPr>
              <w:t>Περιγραφή</w:t>
            </w:r>
          </w:p>
        </w:tc>
        <w:tc>
          <w:tcPr>
            <w:tcW w:w="2347" w:type="dxa"/>
            <w:vAlign w:val="center"/>
            <w:hideMark/>
          </w:tcPr>
          <w:p w:rsidR="00A02E57" w:rsidRPr="00CE6384" w:rsidRDefault="00A02E57" w:rsidP="00C2023B">
            <w:pPr>
              <w:jc w:val="center"/>
              <w:rPr>
                <w:b/>
                <w:bCs/>
              </w:rPr>
            </w:pPr>
            <w:r>
              <w:rPr>
                <w:b/>
                <w:bCs/>
              </w:rPr>
              <w:t>Αποτέλεσμα</w:t>
            </w:r>
          </w:p>
        </w:tc>
      </w:tr>
      <w:tr w:rsidR="00A02E57" w:rsidRPr="006E50AD" w:rsidTr="00C2023B">
        <w:trPr>
          <w:trHeight w:val="1012"/>
        </w:trPr>
        <w:tc>
          <w:tcPr>
            <w:tcW w:w="2793" w:type="dxa"/>
            <w:vAlign w:val="center"/>
          </w:tcPr>
          <w:p w:rsidR="00A02E57" w:rsidRPr="006E50AD" w:rsidRDefault="00A02E57" w:rsidP="00E66E0B">
            <w:pPr>
              <w:rPr>
                <w:rFonts w:ascii="Times New Roman" w:hAnsi="Times New Roman" w:cs="Times New Roman"/>
                <w:b/>
                <w:sz w:val="24"/>
                <w:szCs w:val="24"/>
                <w:lang w:val="en-US"/>
              </w:rPr>
            </w:pPr>
            <w:r w:rsidRPr="009A5BDF">
              <w:rPr>
                <w:rFonts w:ascii="Times New Roman" w:hAnsi="Times New Roman" w:cs="Times New Roman"/>
                <w:b/>
                <w:sz w:val="28"/>
                <w:szCs w:val="24"/>
                <w:lang w:val="en-US"/>
              </w:rPr>
              <w:lastRenderedPageBreak/>
              <w:t>=IRR(A2:A6)</w:t>
            </w:r>
          </w:p>
        </w:tc>
        <w:tc>
          <w:tcPr>
            <w:tcW w:w="3156" w:type="dxa"/>
            <w:vAlign w:val="center"/>
          </w:tcPr>
          <w:p w:rsidR="00A02E57" w:rsidRPr="009A5BDF" w:rsidRDefault="009A5BDF" w:rsidP="009A5BDF">
            <w:pPr>
              <w:jc w:val="both"/>
              <w:rPr>
                <w:rFonts w:ascii="Arial" w:hAnsi="Arial" w:cs="Arial"/>
                <w:sz w:val="24"/>
                <w:szCs w:val="24"/>
              </w:rPr>
            </w:pPr>
            <w:r w:rsidRPr="009A5BDF">
              <w:rPr>
                <w:rFonts w:ascii="Arial" w:hAnsi="Arial" w:cs="Arial"/>
                <w:sz w:val="24"/>
                <w:szCs w:val="24"/>
              </w:rPr>
              <w:t xml:space="preserve">Συντελεστής εσωτερικής απόδοσης της επένδυσης μετά από τέσσερα χρόνια </w:t>
            </w:r>
          </w:p>
        </w:tc>
        <w:tc>
          <w:tcPr>
            <w:tcW w:w="2347" w:type="dxa"/>
            <w:vAlign w:val="center"/>
          </w:tcPr>
          <w:p w:rsidR="00A02E57" w:rsidRPr="009A5BDF" w:rsidRDefault="009A5BDF" w:rsidP="00C2023B">
            <w:pPr>
              <w:spacing w:before="100" w:beforeAutospacing="1" w:after="100" w:afterAutospacing="1"/>
              <w:jc w:val="center"/>
              <w:rPr>
                <w:rFonts w:ascii="Times New Roman" w:eastAsia="Times New Roman" w:hAnsi="Times New Roman" w:cs="Times New Roman"/>
                <w:b/>
                <w:color w:val="363636"/>
                <w:sz w:val="24"/>
                <w:szCs w:val="24"/>
                <w:lang w:val="en-US" w:eastAsia="el-GR"/>
              </w:rPr>
            </w:pPr>
            <w:r>
              <w:rPr>
                <w:rFonts w:ascii="Times New Roman" w:eastAsia="Times New Roman" w:hAnsi="Times New Roman" w:cs="Times New Roman"/>
                <w:b/>
                <w:color w:val="363636"/>
                <w:sz w:val="24"/>
                <w:szCs w:val="24"/>
                <w:lang w:val="en-US" w:eastAsia="el-GR"/>
              </w:rPr>
              <w:t>-2 %</w:t>
            </w:r>
          </w:p>
        </w:tc>
      </w:tr>
      <w:tr w:rsidR="00A02E57" w:rsidRPr="006E50AD" w:rsidTr="00C2023B">
        <w:trPr>
          <w:trHeight w:val="984"/>
        </w:trPr>
        <w:tc>
          <w:tcPr>
            <w:tcW w:w="2793" w:type="dxa"/>
            <w:vAlign w:val="center"/>
          </w:tcPr>
          <w:p w:rsidR="00A02E57" w:rsidRPr="009A5BDF" w:rsidRDefault="009A5BDF" w:rsidP="00E66E0B">
            <w:pPr>
              <w:rPr>
                <w:rFonts w:ascii="Times New Roman" w:hAnsi="Times New Roman" w:cs="Times New Roman"/>
                <w:b/>
                <w:sz w:val="24"/>
                <w:szCs w:val="24"/>
              </w:rPr>
            </w:pPr>
            <w:r w:rsidRPr="009A5BDF">
              <w:rPr>
                <w:rFonts w:ascii="Times New Roman" w:hAnsi="Times New Roman" w:cs="Times New Roman"/>
                <w:b/>
                <w:sz w:val="28"/>
                <w:szCs w:val="24"/>
              </w:rPr>
              <w:t>=</w:t>
            </w:r>
            <w:r w:rsidRPr="009A5BDF">
              <w:rPr>
                <w:rFonts w:ascii="Times New Roman" w:hAnsi="Times New Roman" w:cs="Times New Roman"/>
                <w:b/>
                <w:sz w:val="28"/>
                <w:szCs w:val="24"/>
                <w:lang w:val="en-US"/>
              </w:rPr>
              <w:t>IRR</w:t>
            </w:r>
            <w:r w:rsidRPr="009A5BDF">
              <w:rPr>
                <w:rFonts w:ascii="Times New Roman" w:hAnsi="Times New Roman" w:cs="Times New Roman"/>
                <w:b/>
                <w:sz w:val="28"/>
                <w:szCs w:val="24"/>
              </w:rPr>
              <w:t>(</w:t>
            </w:r>
            <w:r w:rsidRPr="009A5BDF">
              <w:rPr>
                <w:rFonts w:ascii="Times New Roman" w:hAnsi="Times New Roman" w:cs="Times New Roman"/>
                <w:b/>
                <w:sz w:val="28"/>
                <w:szCs w:val="24"/>
                <w:lang w:val="en-US"/>
              </w:rPr>
              <w:t>A</w:t>
            </w:r>
            <w:r w:rsidRPr="009A5BDF">
              <w:rPr>
                <w:rFonts w:ascii="Times New Roman" w:hAnsi="Times New Roman" w:cs="Times New Roman"/>
                <w:b/>
                <w:sz w:val="28"/>
                <w:szCs w:val="24"/>
              </w:rPr>
              <w:t>2:</w:t>
            </w:r>
            <w:r w:rsidRPr="009A5BDF">
              <w:rPr>
                <w:rFonts w:ascii="Times New Roman" w:hAnsi="Times New Roman" w:cs="Times New Roman"/>
                <w:b/>
                <w:sz w:val="28"/>
                <w:szCs w:val="24"/>
                <w:lang w:val="en-US"/>
              </w:rPr>
              <w:t>A</w:t>
            </w:r>
            <w:r>
              <w:rPr>
                <w:rFonts w:ascii="Times New Roman" w:hAnsi="Times New Roman" w:cs="Times New Roman"/>
                <w:b/>
                <w:sz w:val="28"/>
                <w:szCs w:val="24"/>
              </w:rPr>
              <w:t>7</w:t>
            </w:r>
            <w:r w:rsidRPr="009A5BDF">
              <w:rPr>
                <w:rFonts w:ascii="Times New Roman" w:hAnsi="Times New Roman" w:cs="Times New Roman"/>
                <w:b/>
                <w:sz w:val="28"/>
                <w:szCs w:val="24"/>
              </w:rPr>
              <w:t>)</w:t>
            </w:r>
            <w:r w:rsidRPr="009A5BDF">
              <w:rPr>
                <w:rFonts w:ascii="Times New Roman" w:hAnsi="Times New Roman" w:cs="Times New Roman"/>
                <w:b/>
                <w:sz w:val="28"/>
                <w:szCs w:val="24"/>
              </w:rPr>
              <w:tab/>
            </w:r>
          </w:p>
        </w:tc>
        <w:tc>
          <w:tcPr>
            <w:tcW w:w="3156" w:type="dxa"/>
            <w:vAlign w:val="center"/>
          </w:tcPr>
          <w:p w:rsidR="00A02E57" w:rsidRPr="009A5BDF" w:rsidRDefault="009A5BDF" w:rsidP="009A5BDF">
            <w:pPr>
              <w:jc w:val="both"/>
              <w:rPr>
                <w:rFonts w:ascii="Arial" w:hAnsi="Arial" w:cs="Arial"/>
                <w:sz w:val="24"/>
                <w:szCs w:val="24"/>
              </w:rPr>
            </w:pPr>
            <w:r w:rsidRPr="009A5BDF">
              <w:rPr>
                <w:rFonts w:ascii="Arial" w:hAnsi="Arial" w:cs="Arial"/>
                <w:sz w:val="24"/>
                <w:szCs w:val="24"/>
              </w:rPr>
              <w:t xml:space="preserve">Συντελεστής εσωτερικής απόδοσης της επένδυσης μετά από πέντε χρόνια </w:t>
            </w:r>
          </w:p>
        </w:tc>
        <w:tc>
          <w:tcPr>
            <w:tcW w:w="2347" w:type="dxa"/>
            <w:vAlign w:val="center"/>
          </w:tcPr>
          <w:p w:rsidR="00A02E57" w:rsidRPr="009A5BDF" w:rsidRDefault="009A5BDF" w:rsidP="00C2023B">
            <w:pPr>
              <w:spacing w:before="100" w:beforeAutospacing="1" w:after="100" w:afterAutospacing="1"/>
              <w:jc w:val="center"/>
              <w:rPr>
                <w:rFonts w:ascii="Times New Roman" w:eastAsia="Times New Roman" w:hAnsi="Times New Roman" w:cs="Times New Roman"/>
                <w:b/>
                <w:color w:val="363636"/>
                <w:sz w:val="24"/>
                <w:szCs w:val="24"/>
                <w:lang w:val="en-US" w:eastAsia="el-GR"/>
              </w:rPr>
            </w:pPr>
            <w:r>
              <w:rPr>
                <w:rFonts w:ascii="Times New Roman" w:eastAsia="Times New Roman" w:hAnsi="Times New Roman" w:cs="Times New Roman"/>
                <w:b/>
                <w:color w:val="363636"/>
                <w:sz w:val="24"/>
                <w:szCs w:val="24"/>
                <w:lang w:val="en-US" w:eastAsia="el-GR"/>
              </w:rPr>
              <w:t>9%</w:t>
            </w:r>
          </w:p>
        </w:tc>
      </w:tr>
      <w:tr w:rsidR="009A5BDF" w:rsidRPr="006E50AD" w:rsidTr="00C2023B">
        <w:trPr>
          <w:trHeight w:val="984"/>
        </w:trPr>
        <w:tc>
          <w:tcPr>
            <w:tcW w:w="2793" w:type="dxa"/>
            <w:vAlign w:val="center"/>
          </w:tcPr>
          <w:p w:rsidR="009A5BDF" w:rsidRPr="009A5BDF" w:rsidRDefault="009A5BDF" w:rsidP="00C2023B">
            <w:pPr>
              <w:jc w:val="center"/>
              <w:rPr>
                <w:rFonts w:ascii="Times New Roman" w:hAnsi="Times New Roman" w:cs="Times New Roman"/>
                <w:b/>
                <w:sz w:val="24"/>
                <w:szCs w:val="24"/>
              </w:rPr>
            </w:pPr>
            <w:r w:rsidRPr="009A5BDF">
              <w:rPr>
                <w:rFonts w:ascii="Times New Roman" w:hAnsi="Times New Roman" w:cs="Times New Roman"/>
                <w:b/>
                <w:sz w:val="28"/>
                <w:szCs w:val="24"/>
              </w:rPr>
              <w:t>=</w:t>
            </w:r>
            <w:r w:rsidRPr="009A5BDF">
              <w:rPr>
                <w:rFonts w:ascii="Times New Roman" w:hAnsi="Times New Roman" w:cs="Times New Roman"/>
                <w:b/>
                <w:sz w:val="28"/>
                <w:szCs w:val="24"/>
                <w:lang w:val="en-US"/>
              </w:rPr>
              <w:t>IRR</w:t>
            </w:r>
            <w:r w:rsidRPr="009A5BDF">
              <w:rPr>
                <w:rFonts w:ascii="Times New Roman" w:hAnsi="Times New Roman" w:cs="Times New Roman"/>
                <w:b/>
                <w:sz w:val="28"/>
                <w:szCs w:val="24"/>
              </w:rPr>
              <w:t>(</w:t>
            </w:r>
            <w:r w:rsidRPr="009A5BDF">
              <w:rPr>
                <w:rFonts w:ascii="Times New Roman" w:hAnsi="Times New Roman" w:cs="Times New Roman"/>
                <w:b/>
                <w:sz w:val="28"/>
                <w:szCs w:val="24"/>
                <w:lang w:val="en-US"/>
              </w:rPr>
              <w:t>A</w:t>
            </w:r>
            <w:r w:rsidRPr="009A5BDF">
              <w:rPr>
                <w:rFonts w:ascii="Times New Roman" w:hAnsi="Times New Roman" w:cs="Times New Roman"/>
                <w:b/>
                <w:sz w:val="28"/>
                <w:szCs w:val="24"/>
              </w:rPr>
              <w:t>2:</w:t>
            </w:r>
            <w:r w:rsidRPr="009A5BDF">
              <w:rPr>
                <w:rFonts w:ascii="Times New Roman" w:hAnsi="Times New Roman" w:cs="Times New Roman"/>
                <w:b/>
                <w:sz w:val="28"/>
                <w:szCs w:val="24"/>
                <w:lang w:val="en-US"/>
              </w:rPr>
              <w:t>A</w:t>
            </w:r>
            <w:r>
              <w:rPr>
                <w:rFonts w:ascii="Times New Roman" w:hAnsi="Times New Roman" w:cs="Times New Roman"/>
                <w:b/>
                <w:sz w:val="28"/>
                <w:szCs w:val="24"/>
              </w:rPr>
              <w:t>4</w:t>
            </w:r>
            <w:r>
              <w:rPr>
                <w:rFonts w:ascii="Times New Roman" w:hAnsi="Times New Roman" w:cs="Times New Roman"/>
                <w:b/>
                <w:sz w:val="28"/>
                <w:szCs w:val="24"/>
                <w:lang w:val="en-US"/>
              </w:rPr>
              <w:t xml:space="preserve">;-10% </w:t>
            </w:r>
            <w:r w:rsidRPr="009A5BDF">
              <w:rPr>
                <w:rFonts w:ascii="Times New Roman" w:hAnsi="Times New Roman" w:cs="Times New Roman"/>
                <w:b/>
                <w:sz w:val="28"/>
                <w:szCs w:val="24"/>
              </w:rPr>
              <w:t>)</w:t>
            </w:r>
            <w:r w:rsidRPr="009A5BDF">
              <w:rPr>
                <w:rFonts w:ascii="Times New Roman" w:hAnsi="Times New Roman" w:cs="Times New Roman"/>
                <w:b/>
                <w:sz w:val="28"/>
                <w:szCs w:val="24"/>
              </w:rPr>
              <w:tab/>
            </w:r>
          </w:p>
        </w:tc>
        <w:tc>
          <w:tcPr>
            <w:tcW w:w="3156" w:type="dxa"/>
            <w:vAlign w:val="center"/>
          </w:tcPr>
          <w:p w:rsidR="009A5BDF" w:rsidRPr="009A5BDF" w:rsidRDefault="009A5BDF" w:rsidP="009A5BDF">
            <w:pPr>
              <w:jc w:val="both"/>
              <w:rPr>
                <w:rFonts w:ascii="Arial" w:hAnsi="Arial" w:cs="Arial"/>
                <w:sz w:val="24"/>
                <w:szCs w:val="24"/>
              </w:rPr>
            </w:pPr>
            <w:r w:rsidRPr="009A5BDF">
              <w:rPr>
                <w:rFonts w:ascii="Arial" w:hAnsi="Arial" w:cs="Arial"/>
                <w:sz w:val="24"/>
                <w:szCs w:val="24"/>
              </w:rPr>
              <w:t>Για να υπολογίσετε το συντελεστή εσωτερικής απόδοσης μετά από δύο χρόνια, πρέπει να συμπεριλάβετε μια πρόβλεψη</w:t>
            </w:r>
          </w:p>
        </w:tc>
        <w:tc>
          <w:tcPr>
            <w:tcW w:w="2347" w:type="dxa"/>
            <w:vAlign w:val="center"/>
          </w:tcPr>
          <w:p w:rsidR="009A5BDF" w:rsidRPr="009A5BDF" w:rsidRDefault="009A5BDF" w:rsidP="00C2023B">
            <w:pPr>
              <w:spacing w:before="100" w:beforeAutospacing="1" w:after="100" w:afterAutospacing="1"/>
              <w:jc w:val="center"/>
              <w:rPr>
                <w:rFonts w:ascii="Times New Roman" w:eastAsia="Times New Roman" w:hAnsi="Times New Roman" w:cs="Times New Roman"/>
                <w:b/>
                <w:color w:val="363636"/>
                <w:sz w:val="24"/>
                <w:szCs w:val="24"/>
                <w:lang w:val="en-US" w:eastAsia="el-GR"/>
              </w:rPr>
            </w:pPr>
            <w:r>
              <w:rPr>
                <w:rFonts w:ascii="Times New Roman" w:eastAsia="Times New Roman" w:hAnsi="Times New Roman" w:cs="Times New Roman"/>
                <w:b/>
                <w:color w:val="363636"/>
                <w:sz w:val="24"/>
                <w:szCs w:val="24"/>
                <w:lang w:val="en-US" w:eastAsia="el-GR"/>
              </w:rPr>
              <w:t>-44%</w:t>
            </w:r>
          </w:p>
        </w:tc>
      </w:tr>
    </w:tbl>
    <w:p w:rsidR="00A02E57" w:rsidRPr="00993735" w:rsidRDefault="00A02E57" w:rsidP="00993735">
      <w:pPr>
        <w:jc w:val="both"/>
        <w:rPr>
          <w:rFonts w:ascii="Arial" w:hAnsi="Arial" w:cs="Arial"/>
          <w:sz w:val="32"/>
        </w:rPr>
      </w:pPr>
    </w:p>
    <w:sectPr w:rsidR="00A02E57" w:rsidRPr="0099373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54" w:rsidRDefault="00450954" w:rsidP="006E731A">
      <w:pPr>
        <w:spacing w:after="0" w:line="240" w:lineRule="auto"/>
      </w:pPr>
      <w:r>
        <w:separator/>
      </w:r>
    </w:p>
  </w:endnote>
  <w:endnote w:type="continuationSeparator" w:id="0">
    <w:p w:rsidR="00450954" w:rsidRDefault="00450954" w:rsidP="006E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338114"/>
      <w:docPartObj>
        <w:docPartGallery w:val="Page Numbers (Bottom of Page)"/>
        <w:docPartUnique/>
      </w:docPartObj>
    </w:sdtPr>
    <w:sdtEndPr/>
    <w:sdtContent>
      <w:p w:rsidR="006E731A" w:rsidRDefault="006E731A">
        <w:pPr>
          <w:pStyle w:val="a6"/>
          <w:jc w:val="right"/>
        </w:pPr>
        <w:r>
          <w:fldChar w:fldCharType="begin"/>
        </w:r>
        <w:r>
          <w:instrText>PAGE   \* MERGEFORMAT</w:instrText>
        </w:r>
        <w:r>
          <w:fldChar w:fldCharType="separate"/>
        </w:r>
        <w:r w:rsidR="00956B0D">
          <w:rPr>
            <w:noProof/>
          </w:rPr>
          <w:t>7</w:t>
        </w:r>
        <w:r>
          <w:fldChar w:fldCharType="end"/>
        </w:r>
      </w:p>
    </w:sdtContent>
  </w:sdt>
  <w:p w:rsidR="006E731A" w:rsidRPr="006E731A" w:rsidRDefault="006E73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54" w:rsidRDefault="00450954" w:rsidP="006E731A">
      <w:pPr>
        <w:spacing w:after="0" w:line="240" w:lineRule="auto"/>
      </w:pPr>
      <w:r>
        <w:separator/>
      </w:r>
    </w:p>
  </w:footnote>
  <w:footnote w:type="continuationSeparator" w:id="0">
    <w:p w:rsidR="00450954" w:rsidRDefault="00450954" w:rsidP="006E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87" w:rsidRPr="00265F87" w:rsidRDefault="00265F87">
    <w:pPr>
      <w:pStyle w:val="a5"/>
      <w:rPr>
        <w:rFonts w:ascii="Times New Roman" w:hAnsi="Times New Roman" w:cs="Times New Roman"/>
        <w:i/>
        <w:sz w:val="24"/>
      </w:rPr>
    </w:pPr>
    <w:r w:rsidRPr="00265F87">
      <w:rPr>
        <w:rFonts w:ascii="Times New Roman" w:hAnsi="Times New Roman" w:cs="Times New Roman"/>
        <w:i/>
        <w:sz w:val="24"/>
      </w:rPr>
      <w:ptab w:relativeTo="margin" w:alignment="center" w:leader="none"/>
    </w:r>
    <w:r w:rsidRPr="00265F87">
      <w:rPr>
        <w:rFonts w:ascii="Times New Roman" w:hAnsi="Times New Roman" w:cs="Times New Roman"/>
        <w:i/>
        <w:sz w:val="24"/>
      </w:rPr>
      <w:t xml:space="preserve">Σύνταξη συναρτήσεων </w:t>
    </w:r>
    <w:r w:rsidRPr="00265F87">
      <w:rPr>
        <w:rFonts w:ascii="Times New Roman" w:hAnsi="Times New Roman" w:cs="Times New Roman"/>
        <w:i/>
        <w:sz w:val="24"/>
        <w:lang w:val="en-US"/>
      </w:rPr>
      <w:t>NPV</w:t>
    </w:r>
    <w:r w:rsidRPr="00265F87">
      <w:rPr>
        <w:rFonts w:ascii="Times New Roman" w:hAnsi="Times New Roman" w:cs="Times New Roman"/>
        <w:i/>
        <w:sz w:val="24"/>
      </w:rPr>
      <w:t xml:space="preserve"> &amp; </w:t>
    </w:r>
    <w:r w:rsidRPr="00265F87">
      <w:rPr>
        <w:rFonts w:ascii="Times New Roman" w:hAnsi="Times New Roman" w:cs="Times New Roman"/>
        <w:i/>
        <w:sz w:val="24"/>
        <w:lang w:val="en-US"/>
      </w:rPr>
      <w:t>IRR</w:t>
    </w:r>
    <w:r w:rsidRPr="00265F87">
      <w:rPr>
        <w:rFonts w:ascii="Times New Roman" w:hAnsi="Times New Roman" w:cs="Times New Roman"/>
        <w:i/>
        <w:sz w:val="24"/>
      </w:rPr>
      <w:t xml:space="preserve"> στο </w:t>
    </w:r>
    <w:r w:rsidRPr="00265F87">
      <w:rPr>
        <w:rFonts w:ascii="Times New Roman" w:hAnsi="Times New Roman" w:cs="Times New Roman"/>
        <w:i/>
        <w:sz w:val="24"/>
        <w:lang w:val="en-US"/>
      </w:rPr>
      <w:t>Excel</w:t>
    </w:r>
    <w:r w:rsidRPr="00265F87">
      <w:rPr>
        <w:rFonts w:ascii="Times New Roman" w:hAnsi="Times New Roman" w:cs="Times New Roman"/>
        <w:i/>
        <w:sz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abstractNum w:abstractNumId="0" w15:restartNumberingAfterBreak="0">
    <w:nsid w:val="02D56020"/>
    <w:multiLevelType w:val="multilevel"/>
    <w:tmpl w:val="C7BE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50E1"/>
    <w:multiLevelType w:val="multilevel"/>
    <w:tmpl w:val="2246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E1BFC"/>
    <w:multiLevelType w:val="multilevel"/>
    <w:tmpl w:val="9E8E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B3C7A"/>
    <w:multiLevelType w:val="hybridMultilevel"/>
    <w:tmpl w:val="B2944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F303B6"/>
    <w:multiLevelType w:val="multilevel"/>
    <w:tmpl w:val="21E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0279F"/>
    <w:multiLevelType w:val="hybridMultilevel"/>
    <w:tmpl w:val="63F88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8754B5"/>
    <w:multiLevelType w:val="hybridMultilevel"/>
    <w:tmpl w:val="EB90BC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BA"/>
    <w:rsid w:val="000E2253"/>
    <w:rsid w:val="00225963"/>
    <w:rsid w:val="00265F87"/>
    <w:rsid w:val="003D5FF3"/>
    <w:rsid w:val="00450954"/>
    <w:rsid w:val="006D47D8"/>
    <w:rsid w:val="006E50AD"/>
    <w:rsid w:val="006E731A"/>
    <w:rsid w:val="007D4031"/>
    <w:rsid w:val="00891340"/>
    <w:rsid w:val="009310BA"/>
    <w:rsid w:val="00956B0D"/>
    <w:rsid w:val="00993735"/>
    <w:rsid w:val="009A5BDF"/>
    <w:rsid w:val="00A02E57"/>
    <w:rsid w:val="00C0003D"/>
    <w:rsid w:val="00CE6384"/>
    <w:rsid w:val="00E27A7C"/>
    <w:rsid w:val="00E66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A08B9-C178-40ED-91F9-8E79E491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9373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93735"/>
    <w:rPr>
      <w:rFonts w:ascii="Segoe UI" w:hAnsi="Segoe UI" w:cs="Segoe UI"/>
      <w:sz w:val="18"/>
      <w:szCs w:val="18"/>
    </w:rPr>
  </w:style>
  <w:style w:type="paragraph" w:customStyle="1" w:styleId="Default">
    <w:name w:val="Default"/>
    <w:rsid w:val="00993735"/>
    <w:pPr>
      <w:autoSpaceDE w:val="0"/>
      <w:autoSpaceDN w:val="0"/>
      <w:adjustRightInd w:val="0"/>
      <w:spacing w:after="0" w:line="240" w:lineRule="auto"/>
    </w:pPr>
    <w:rPr>
      <w:rFonts w:ascii="Segoe UI" w:hAnsi="Segoe UI" w:cs="Segoe UI"/>
      <w:color w:val="000000"/>
      <w:sz w:val="24"/>
      <w:szCs w:val="24"/>
    </w:rPr>
  </w:style>
  <w:style w:type="paragraph" w:styleId="a5">
    <w:name w:val="header"/>
    <w:basedOn w:val="a"/>
    <w:link w:val="Char0"/>
    <w:uiPriority w:val="99"/>
    <w:unhideWhenUsed/>
    <w:rsid w:val="006E731A"/>
    <w:pPr>
      <w:tabs>
        <w:tab w:val="center" w:pos="4153"/>
        <w:tab w:val="right" w:pos="8306"/>
      </w:tabs>
      <w:spacing w:after="0" w:line="240" w:lineRule="auto"/>
    </w:pPr>
  </w:style>
  <w:style w:type="character" w:customStyle="1" w:styleId="Char0">
    <w:name w:val="Κεφαλίδα Char"/>
    <w:basedOn w:val="a0"/>
    <w:link w:val="a5"/>
    <w:uiPriority w:val="99"/>
    <w:rsid w:val="006E731A"/>
  </w:style>
  <w:style w:type="paragraph" w:styleId="a6">
    <w:name w:val="footer"/>
    <w:basedOn w:val="a"/>
    <w:link w:val="Char1"/>
    <w:uiPriority w:val="99"/>
    <w:unhideWhenUsed/>
    <w:rsid w:val="006E731A"/>
    <w:pPr>
      <w:tabs>
        <w:tab w:val="center" w:pos="4153"/>
        <w:tab w:val="right" w:pos="8306"/>
      </w:tabs>
      <w:spacing w:after="0" w:line="240" w:lineRule="auto"/>
    </w:pPr>
  </w:style>
  <w:style w:type="character" w:customStyle="1" w:styleId="Char1">
    <w:name w:val="Υποσέλιδο Char"/>
    <w:basedOn w:val="a0"/>
    <w:link w:val="a6"/>
    <w:uiPriority w:val="99"/>
    <w:rsid w:val="006E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842342">
      <w:bodyDiv w:val="1"/>
      <w:marLeft w:val="0"/>
      <w:marRight w:val="0"/>
      <w:marTop w:val="0"/>
      <w:marBottom w:val="0"/>
      <w:divBdr>
        <w:top w:val="none" w:sz="0" w:space="0" w:color="auto"/>
        <w:left w:val="none" w:sz="0" w:space="0" w:color="auto"/>
        <w:bottom w:val="none" w:sz="0" w:space="0" w:color="auto"/>
        <w:right w:val="none" w:sz="0" w:space="0" w:color="auto"/>
      </w:divBdr>
      <w:divsChild>
        <w:div w:id="1896894147">
          <w:marLeft w:val="0"/>
          <w:marRight w:val="0"/>
          <w:marTop w:val="0"/>
          <w:marBottom w:val="0"/>
          <w:divBdr>
            <w:top w:val="none" w:sz="0" w:space="0" w:color="auto"/>
            <w:left w:val="none" w:sz="0" w:space="0" w:color="auto"/>
            <w:bottom w:val="none" w:sz="0" w:space="0" w:color="auto"/>
            <w:right w:val="none" w:sz="0" w:space="0" w:color="auto"/>
          </w:divBdr>
        </w:div>
      </w:divsChild>
    </w:div>
    <w:div w:id="766920914">
      <w:bodyDiv w:val="1"/>
      <w:marLeft w:val="0"/>
      <w:marRight w:val="0"/>
      <w:marTop w:val="0"/>
      <w:marBottom w:val="0"/>
      <w:divBdr>
        <w:top w:val="none" w:sz="0" w:space="0" w:color="auto"/>
        <w:left w:val="none" w:sz="0" w:space="0" w:color="auto"/>
        <w:bottom w:val="none" w:sz="0" w:space="0" w:color="auto"/>
        <w:right w:val="none" w:sz="0" w:space="0" w:color="auto"/>
      </w:divBdr>
      <w:divsChild>
        <w:div w:id="1831024141">
          <w:marLeft w:val="0"/>
          <w:marRight w:val="0"/>
          <w:marTop w:val="0"/>
          <w:marBottom w:val="0"/>
          <w:divBdr>
            <w:top w:val="none" w:sz="0" w:space="0" w:color="auto"/>
            <w:left w:val="none" w:sz="0" w:space="0" w:color="auto"/>
            <w:bottom w:val="none" w:sz="0" w:space="0" w:color="auto"/>
            <w:right w:val="none" w:sz="0" w:space="0" w:color="auto"/>
          </w:divBdr>
          <w:divsChild>
            <w:div w:id="2134058920">
              <w:marLeft w:val="0"/>
              <w:marRight w:val="0"/>
              <w:marTop w:val="0"/>
              <w:marBottom w:val="0"/>
              <w:divBdr>
                <w:top w:val="none" w:sz="0" w:space="0" w:color="auto"/>
                <w:left w:val="none" w:sz="0" w:space="0" w:color="auto"/>
                <w:bottom w:val="none" w:sz="0" w:space="0" w:color="auto"/>
                <w:right w:val="none" w:sz="0" w:space="0" w:color="auto"/>
              </w:divBdr>
              <w:divsChild>
                <w:div w:id="1021904262">
                  <w:marLeft w:val="0"/>
                  <w:marRight w:val="0"/>
                  <w:marTop w:val="0"/>
                  <w:marBottom w:val="0"/>
                  <w:divBdr>
                    <w:top w:val="none" w:sz="0" w:space="0" w:color="auto"/>
                    <w:left w:val="none" w:sz="0" w:space="0" w:color="auto"/>
                    <w:bottom w:val="none" w:sz="0" w:space="0" w:color="auto"/>
                    <w:right w:val="none" w:sz="0" w:space="0" w:color="auto"/>
                  </w:divBdr>
                  <w:divsChild>
                    <w:div w:id="19300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62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312">
          <w:marLeft w:val="0"/>
          <w:marRight w:val="0"/>
          <w:marTop w:val="0"/>
          <w:marBottom w:val="0"/>
          <w:divBdr>
            <w:top w:val="none" w:sz="0" w:space="0" w:color="auto"/>
            <w:left w:val="none" w:sz="0" w:space="0" w:color="auto"/>
            <w:bottom w:val="none" w:sz="0" w:space="0" w:color="auto"/>
            <w:right w:val="none" w:sz="0" w:space="0" w:color="auto"/>
          </w:divBdr>
          <w:divsChild>
            <w:div w:id="1051923216">
              <w:marLeft w:val="0"/>
              <w:marRight w:val="0"/>
              <w:marTop w:val="0"/>
              <w:marBottom w:val="0"/>
              <w:divBdr>
                <w:top w:val="none" w:sz="0" w:space="0" w:color="auto"/>
                <w:left w:val="none" w:sz="0" w:space="0" w:color="auto"/>
                <w:bottom w:val="none" w:sz="0" w:space="0" w:color="auto"/>
                <w:right w:val="none" w:sz="0" w:space="0" w:color="auto"/>
              </w:divBdr>
              <w:divsChild>
                <w:div w:id="44573473">
                  <w:marLeft w:val="0"/>
                  <w:marRight w:val="0"/>
                  <w:marTop w:val="0"/>
                  <w:marBottom w:val="0"/>
                  <w:divBdr>
                    <w:top w:val="none" w:sz="0" w:space="0" w:color="auto"/>
                    <w:left w:val="none" w:sz="0" w:space="0" w:color="auto"/>
                    <w:bottom w:val="none" w:sz="0" w:space="0" w:color="auto"/>
                    <w:right w:val="none" w:sz="0" w:space="0" w:color="auto"/>
                  </w:divBdr>
                  <w:divsChild>
                    <w:div w:id="8158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73935">
      <w:bodyDiv w:val="1"/>
      <w:marLeft w:val="0"/>
      <w:marRight w:val="0"/>
      <w:marTop w:val="0"/>
      <w:marBottom w:val="0"/>
      <w:divBdr>
        <w:top w:val="none" w:sz="0" w:space="0" w:color="auto"/>
        <w:left w:val="none" w:sz="0" w:space="0" w:color="auto"/>
        <w:bottom w:val="none" w:sz="0" w:space="0" w:color="auto"/>
        <w:right w:val="none" w:sz="0" w:space="0" w:color="auto"/>
      </w:divBdr>
      <w:divsChild>
        <w:div w:id="23312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1167</Words>
  <Characters>6306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Moniakis Myron</cp:lastModifiedBy>
  <cp:revision>10</cp:revision>
  <dcterms:created xsi:type="dcterms:W3CDTF">2016-04-19T11:44:00Z</dcterms:created>
  <dcterms:modified xsi:type="dcterms:W3CDTF">2020-12-01T14:07:00Z</dcterms:modified>
</cp:coreProperties>
</file>